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B22C2" w14:textId="6C5BB819" w:rsidR="0053163A" w:rsidRDefault="0053163A" w:rsidP="0053163A">
      <w:pPr>
        <w:pStyle w:val="CRCoverPage"/>
        <w:outlineLvl w:val="0"/>
        <w:rPr>
          <w:b/>
          <w:noProof/>
          <w:sz w:val="24"/>
        </w:rPr>
      </w:pPr>
      <w:r>
        <w:rPr>
          <w:b/>
          <w:noProof/>
          <w:sz w:val="24"/>
        </w:rPr>
        <w:t>3GPP TSG RAN WG1 #1</w:t>
      </w:r>
      <w:r w:rsidR="00417DEE">
        <w:rPr>
          <w:b/>
          <w:noProof/>
          <w:sz w:val="24"/>
        </w:rPr>
        <w:t>10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846DA" w:rsidRPr="008846DA">
        <w:rPr>
          <w:b/>
          <w:noProof/>
          <w:sz w:val="24"/>
        </w:rPr>
        <w:t>R1-2207257</w:t>
      </w:r>
    </w:p>
    <w:p w14:paraId="1B7160FE" w14:textId="7F1B40ED" w:rsidR="0053163A" w:rsidRDefault="00417DEE" w:rsidP="0053163A">
      <w:pPr>
        <w:pStyle w:val="CRCoverPage"/>
        <w:outlineLvl w:val="0"/>
        <w:rPr>
          <w:b/>
          <w:noProof/>
          <w:sz w:val="24"/>
        </w:rPr>
      </w:pPr>
      <w:r>
        <w:rPr>
          <w:b/>
          <w:noProof/>
          <w:sz w:val="24"/>
        </w:rPr>
        <w:t>Toulouse, France</w:t>
      </w:r>
      <w:r w:rsidR="0053163A">
        <w:rPr>
          <w:b/>
          <w:noProof/>
          <w:sz w:val="24"/>
        </w:rPr>
        <w:t xml:space="preserve">, </w:t>
      </w:r>
      <w:r>
        <w:rPr>
          <w:b/>
          <w:noProof/>
          <w:sz w:val="24"/>
        </w:rPr>
        <w:t>August</w:t>
      </w:r>
      <w:r w:rsidR="00972086">
        <w:rPr>
          <w:b/>
          <w:noProof/>
          <w:sz w:val="24"/>
        </w:rPr>
        <w:t xml:space="preserve"> </w:t>
      </w:r>
      <w:r>
        <w:rPr>
          <w:b/>
          <w:noProof/>
          <w:sz w:val="24"/>
        </w:rPr>
        <w:t>22</w:t>
      </w:r>
      <w:r w:rsidR="0053163A">
        <w:rPr>
          <w:b/>
          <w:noProof/>
          <w:sz w:val="24"/>
          <w:vertAlign w:val="superscript"/>
        </w:rPr>
        <w:t>th</w:t>
      </w:r>
      <w:r w:rsidR="0053163A">
        <w:rPr>
          <w:b/>
          <w:noProof/>
          <w:sz w:val="24"/>
        </w:rPr>
        <w:t xml:space="preserve"> – </w:t>
      </w:r>
      <w:r>
        <w:rPr>
          <w:b/>
          <w:noProof/>
          <w:sz w:val="24"/>
        </w:rPr>
        <w:t>August</w:t>
      </w:r>
      <w:r w:rsidR="0053163A">
        <w:rPr>
          <w:b/>
          <w:noProof/>
          <w:sz w:val="24"/>
        </w:rPr>
        <w:t xml:space="preserve"> </w:t>
      </w:r>
      <w:r w:rsidR="00AA6C26">
        <w:rPr>
          <w:b/>
          <w:noProof/>
          <w:sz w:val="24"/>
        </w:rPr>
        <w:t>2</w:t>
      </w:r>
      <w:r w:rsidR="00997D9B">
        <w:rPr>
          <w:b/>
          <w:noProof/>
          <w:sz w:val="24"/>
        </w:rPr>
        <w:t>6</w:t>
      </w:r>
      <w:r w:rsidR="00AA6C26">
        <w:rPr>
          <w:b/>
          <w:noProof/>
          <w:sz w:val="24"/>
          <w:vertAlign w:val="superscript"/>
        </w:rPr>
        <w:t>th</w:t>
      </w:r>
      <w:r w:rsidR="0053163A">
        <w:rPr>
          <w:b/>
          <w:noProof/>
          <w:sz w:val="24"/>
        </w:rPr>
        <w:t>, 202</w:t>
      </w:r>
      <w:r w:rsidR="00014F85">
        <w:rPr>
          <w:b/>
          <w:noProof/>
          <w:sz w:val="24"/>
        </w:rPr>
        <w:t>2</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7226FD41"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9.12.</w:t>
      </w:r>
      <w:r w:rsidR="00E57E07">
        <w:rPr>
          <w:rFonts w:ascii="Arial" w:hAnsi="Arial"/>
          <w:sz w:val="24"/>
        </w:rPr>
        <w:t>3</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2DF8AA41"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170977" w:rsidRPr="00170977">
        <w:rPr>
          <w:rFonts w:ascii="Arial" w:hAnsi="Arial"/>
          <w:sz w:val="24"/>
        </w:rPr>
        <w:t>Disabling HARQ Feedback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590E4919" w14:textId="77777777" w:rsidR="00F47B4F" w:rsidRDefault="00F47B4F" w:rsidP="00F47B4F">
      <w:r>
        <w:t xml:space="preserve">In RAN#94-e, the following objectives with RAN1 impact were included in the WID for </w:t>
      </w:r>
      <w:proofErr w:type="spellStart"/>
      <w:r>
        <w:t>eMTC</w:t>
      </w:r>
      <w:proofErr w:type="spellEnd"/>
      <w:r>
        <w:t>/NB-IoT over NTN in Release 18:</w:t>
      </w:r>
    </w:p>
    <w:p w14:paraId="14172D5C" w14:textId="77777777" w:rsidR="00F47B4F" w:rsidRPr="00AE0493" w:rsidRDefault="00F47B4F" w:rsidP="00F47B4F">
      <w:pPr>
        <w:spacing w:after="0"/>
        <w:rPr>
          <w:bCs/>
          <w:i/>
          <w:iCs/>
        </w:rPr>
      </w:pPr>
      <w:r w:rsidRPr="00AE0493">
        <w:rPr>
          <w:bCs/>
          <w:i/>
          <w:iCs/>
        </w:rPr>
        <w:t>IoT-NTN Performance Enhancements in Rel-18 to address remaining issues from Rel-17</w:t>
      </w:r>
    </w:p>
    <w:p w14:paraId="5833DDC4" w14:textId="77777777" w:rsidR="00F47B4F" w:rsidRPr="00AE0493" w:rsidRDefault="00F47B4F" w:rsidP="00F47B4F">
      <w:pPr>
        <w:spacing w:after="0"/>
        <w:rPr>
          <w:bCs/>
          <w:i/>
          <w:iCs/>
        </w:rPr>
      </w:pPr>
    </w:p>
    <w:p w14:paraId="58CF7CA5" w14:textId="77777777" w:rsidR="00F47B4F" w:rsidRPr="00AE0493" w:rsidRDefault="00F47B4F" w:rsidP="00F47B4F">
      <w:pPr>
        <w:spacing w:after="0"/>
        <w:rPr>
          <w:bCs/>
          <w:i/>
          <w:iCs/>
        </w:rPr>
      </w:pPr>
      <w:r w:rsidRPr="00AE0493">
        <w:rPr>
          <w:bCs/>
          <w:i/>
          <w:iCs/>
        </w:rPr>
        <w:t>This work considers Rel-17 IoT-NTN as baseline as well as Rel-17 NR-NTN outcome and the further IoT-NTN performance enhancements objectives are listed below:</w:t>
      </w:r>
    </w:p>
    <w:p w14:paraId="2AEDBAFB" w14:textId="77777777" w:rsidR="00F47B4F" w:rsidRPr="00AE0493" w:rsidRDefault="00F47B4F" w:rsidP="00F47B4F">
      <w:pPr>
        <w:spacing w:after="0"/>
        <w:rPr>
          <w:bCs/>
          <w:i/>
          <w:iCs/>
        </w:rPr>
      </w:pPr>
    </w:p>
    <w:p w14:paraId="7D2AFE61" w14:textId="77777777" w:rsidR="00F47B4F" w:rsidRPr="00AE0493" w:rsidRDefault="00F47B4F" w:rsidP="00F47B4F">
      <w:pPr>
        <w:numPr>
          <w:ilvl w:val="0"/>
          <w:numId w:val="34"/>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[RAN1,RAN2]</w:t>
      </w:r>
    </w:p>
    <w:p w14:paraId="756DCF36" w14:textId="77777777" w:rsidR="00F47B4F" w:rsidRPr="00AE0493" w:rsidRDefault="00F47B4F" w:rsidP="00F47B4F">
      <w:pPr>
        <w:numPr>
          <w:ilvl w:val="0"/>
          <w:numId w:val="34"/>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4DC3AD9C" w14:textId="0A3D2DF1" w:rsidR="00AE0493" w:rsidRDefault="00AE0493" w:rsidP="00085CDB"/>
    <w:p w14:paraId="0050B465" w14:textId="77777777" w:rsidR="00BB1353" w:rsidRDefault="00BB1353" w:rsidP="00BB1353">
      <w:r>
        <w:t>In RAN1#109-e, the following agreements were made, with regards to this agenda item:</w:t>
      </w:r>
    </w:p>
    <w:p w14:paraId="629F6F7B" w14:textId="77777777" w:rsidR="00B97D80" w:rsidRPr="00D44F1C" w:rsidRDefault="00B97D80" w:rsidP="00B97D80">
      <w:pPr>
        <w:rPr>
          <w:rFonts w:cs="Times"/>
          <w:b/>
          <w:bCs/>
        </w:rPr>
      </w:pPr>
      <w:r w:rsidRPr="00D44F1C">
        <w:rPr>
          <w:rFonts w:cs="Times"/>
          <w:b/>
          <w:bCs/>
          <w:highlight w:val="green"/>
          <w:lang w:eastAsia="zh-CN"/>
        </w:rPr>
        <w:t>Agreement</w:t>
      </w:r>
    </w:p>
    <w:p w14:paraId="1984AD5C" w14:textId="77777777" w:rsidR="00B97D80" w:rsidRPr="00D44F1C" w:rsidRDefault="00B97D80" w:rsidP="00B97D80">
      <w:pPr>
        <w:rPr>
          <w:rFonts w:cs="Times"/>
          <w:lang w:eastAsia="zh-CN"/>
        </w:rPr>
      </w:pPr>
      <w:r w:rsidRPr="00D44F1C">
        <w:rPr>
          <w:rFonts w:cs="Times"/>
          <w:color w:val="000000"/>
          <w:lang w:eastAsia="zh-CN"/>
        </w:rPr>
        <w:t xml:space="preserve">For IoT NTN, to configure/indicate </w:t>
      </w:r>
      <w:r w:rsidRPr="00D44F1C">
        <w:rPr>
          <w:rFonts w:cs="Times"/>
          <w:lang w:eastAsia="zh-CN"/>
        </w:rPr>
        <w:t xml:space="preserve">enabling/disabling on </w:t>
      </w:r>
      <w:r w:rsidRPr="00D44F1C">
        <w:rPr>
          <w:rFonts w:cs="Times"/>
        </w:rPr>
        <w:t xml:space="preserve">HARQ feedback </w:t>
      </w:r>
      <w:r w:rsidRPr="00D44F1C">
        <w:rPr>
          <w:rFonts w:cs="Times"/>
          <w:lang w:eastAsia="zh-CN"/>
        </w:rPr>
        <w:t>for downlink transmission, one or more of the following options can be considered:</w:t>
      </w:r>
    </w:p>
    <w:p w14:paraId="11FB5693" w14:textId="77777777" w:rsidR="00B97D80" w:rsidRPr="00D44F1C" w:rsidRDefault="00B97D80" w:rsidP="00B97D80">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Option 1: per HARQ process via UE specific RRC signaling</w:t>
      </w:r>
    </w:p>
    <w:p w14:paraId="7235090F" w14:textId="77777777" w:rsidR="00B97D80" w:rsidRPr="00D44F1C" w:rsidRDefault="00B97D80" w:rsidP="00B97D80">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Option 2: per HARQ process via SIB signaling</w:t>
      </w:r>
    </w:p>
    <w:p w14:paraId="77A98579" w14:textId="77777777" w:rsidR="00B97D80" w:rsidRPr="00D44F1C" w:rsidRDefault="00B97D80" w:rsidP="00B97D80">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Option 3: explicitly indicated by DCI (e.g., new field or reusing existing field)</w:t>
      </w:r>
    </w:p>
    <w:p w14:paraId="3D726B11" w14:textId="77777777" w:rsidR="00B97D80" w:rsidRPr="00D44F1C" w:rsidRDefault="00B97D80" w:rsidP="00B97D80">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Option 4: implicitly determined by existing configured/indicated parameter(s) (e.g., repetition number, TBS)</w:t>
      </w:r>
    </w:p>
    <w:p w14:paraId="69824B9B" w14:textId="77777777" w:rsidR="00B97D80" w:rsidRPr="00D44F1C" w:rsidRDefault="00B97D80" w:rsidP="00B97D80">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Option 5: per HARQ process via MAC CE</w:t>
      </w:r>
    </w:p>
    <w:p w14:paraId="469B70BF" w14:textId="77777777" w:rsidR="00B97D80" w:rsidRPr="00D44F1C" w:rsidRDefault="00B97D80" w:rsidP="00B97D80">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Other options or combinations are not excluded</w:t>
      </w:r>
    </w:p>
    <w:p w14:paraId="602B4685" w14:textId="42FF50E0" w:rsidR="00B97D80" w:rsidRPr="00D44F1C" w:rsidRDefault="00B97D80" w:rsidP="00B97D80">
      <w:pPr>
        <w:rPr>
          <w:rFonts w:cs="Times"/>
          <w:lang w:eastAsia="zh-CN"/>
        </w:rPr>
      </w:pPr>
      <w:r w:rsidRPr="00D44F1C">
        <w:rPr>
          <w:rFonts w:cs="Times"/>
          <w:lang w:eastAsia="zh-CN"/>
        </w:rPr>
        <w:t xml:space="preserve">Note: Option(s) for </w:t>
      </w:r>
      <w:proofErr w:type="spellStart"/>
      <w:r w:rsidRPr="00D44F1C">
        <w:rPr>
          <w:rFonts w:cs="Times"/>
          <w:lang w:eastAsia="zh-CN"/>
        </w:rPr>
        <w:t>eMTC</w:t>
      </w:r>
      <w:proofErr w:type="spellEnd"/>
      <w:r w:rsidRPr="00D44F1C">
        <w:rPr>
          <w:rFonts w:cs="Times"/>
          <w:lang w:eastAsia="zh-CN"/>
        </w:rPr>
        <w:t xml:space="preserve"> and </w:t>
      </w:r>
      <w:proofErr w:type="spellStart"/>
      <w:r w:rsidRPr="00D44F1C">
        <w:rPr>
          <w:rFonts w:cs="Times"/>
          <w:lang w:eastAsia="zh-CN"/>
        </w:rPr>
        <w:t>NBIoT</w:t>
      </w:r>
      <w:proofErr w:type="spellEnd"/>
      <w:r w:rsidRPr="00D44F1C">
        <w:rPr>
          <w:rFonts w:cs="Times"/>
          <w:lang w:eastAsia="zh-CN"/>
        </w:rPr>
        <w:t xml:space="preserve"> can be separately discussed.</w:t>
      </w:r>
    </w:p>
    <w:p w14:paraId="773D4B6F" w14:textId="77777777" w:rsidR="00B97D80" w:rsidRPr="00D44F1C" w:rsidRDefault="00B97D80" w:rsidP="00B97D80">
      <w:pPr>
        <w:rPr>
          <w:rFonts w:cs="Times"/>
          <w:b/>
        </w:rPr>
      </w:pPr>
      <w:r w:rsidRPr="00D44F1C">
        <w:rPr>
          <w:rFonts w:cs="Times"/>
          <w:b/>
          <w:color w:val="000000"/>
          <w:highlight w:val="green"/>
          <w:lang w:eastAsia="zh-CN"/>
        </w:rPr>
        <w:t>Agreement</w:t>
      </w:r>
    </w:p>
    <w:p w14:paraId="0583C97A" w14:textId="77777777" w:rsidR="00B97D80" w:rsidRPr="00D44F1C" w:rsidRDefault="00B97D80" w:rsidP="00B97D80">
      <w:pPr>
        <w:rPr>
          <w:rFonts w:cs="Times"/>
          <w:color w:val="000000"/>
          <w:lang w:eastAsia="zh-CN"/>
        </w:rPr>
      </w:pPr>
      <w:r w:rsidRPr="00D44F1C">
        <w:rPr>
          <w:rFonts w:cs="Times"/>
          <w:color w:val="000000"/>
          <w:lang w:eastAsia="zh-CN"/>
        </w:rPr>
        <w:t>For IoT NTN, further study the potential issues due to enabling/disabling on HARQ feedback for downlink transmission</w:t>
      </w:r>
    </w:p>
    <w:p w14:paraId="2BD51361" w14:textId="77777777" w:rsidR="00B97D80" w:rsidRPr="00D44F1C" w:rsidRDefault="00B97D80" w:rsidP="00B97D80">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A: SPS PDSCH</w:t>
      </w:r>
    </w:p>
    <w:p w14:paraId="285543B6" w14:textId="77777777" w:rsidR="00B97D80" w:rsidRPr="00D44F1C" w:rsidRDefault="00B97D80" w:rsidP="00B97D80">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B: (N)PDSCH/(N)PDCCH scheduling restriction</w:t>
      </w:r>
    </w:p>
    <w:p w14:paraId="6A135DEE" w14:textId="77777777" w:rsidR="00B97D80" w:rsidRPr="00D44F1C" w:rsidRDefault="00B97D80" w:rsidP="00B97D80">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C: HARQ feedback for scheduling multiple TB</w:t>
      </w:r>
    </w:p>
    <w:p w14:paraId="040751E0" w14:textId="77777777" w:rsidR="00B97D80" w:rsidRPr="00D44F1C" w:rsidRDefault="00B97D80" w:rsidP="00B97D80">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 xml:space="preserve">Issue D: HARQ bundling for </w:t>
      </w:r>
      <w:proofErr w:type="spellStart"/>
      <w:r w:rsidRPr="00D44F1C">
        <w:rPr>
          <w:rFonts w:eastAsia="MS PGothic" w:cs="Times"/>
          <w:lang w:val="en-US" w:eastAsia="ja-JP"/>
        </w:rPr>
        <w:t>eMTC</w:t>
      </w:r>
      <w:proofErr w:type="spellEnd"/>
      <w:r w:rsidRPr="00D44F1C">
        <w:rPr>
          <w:rFonts w:eastAsia="MS PGothic" w:cs="Times"/>
          <w:lang w:val="en-US" w:eastAsia="ja-JP"/>
        </w:rPr>
        <w:t xml:space="preserve"> HD-FDD</w:t>
      </w:r>
    </w:p>
    <w:p w14:paraId="27DCACC2" w14:textId="77777777" w:rsidR="00B97D80" w:rsidRPr="00D44F1C" w:rsidRDefault="00B97D80" w:rsidP="00B97D80">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F: NPRACH capacity</w:t>
      </w:r>
    </w:p>
    <w:p w14:paraId="57DC52A9" w14:textId="77777777" w:rsidR="00B97D80" w:rsidRPr="00D44F1C" w:rsidRDefault="00B97D80" w:rsidP="00B97D80">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 xml:space="preserve">Issue G: Serving cell/satellite change during data transfer (FFS: for </w:t>
      </w:r>
      <w:proofErr w:type="spellStart"/>
      <w:r w:rsidRPr="00D44F1C">
        <w:rPr>
          <w:rFonts w:eastAsia="MS PGothic" w:cs="Times"/>
          <w:lang w:val="en-US" w:eastAsia="ja-JP"/>
        </w:rPr>
        <w:t>eMTC</w:t>
      </w:r>
      <w:proofErr w:type="spellEnd"/>
      <w:r w:rsidRPr="00D44F1C">
        <w:rPr>
          <w:rFonts w:eastAsia="MS PGothic" w:cs="Times"/>
          <w:lang w:val="en-US" w:eastAsia="ja-JP"/>
        </w:rPr>
        <w:t xml:space="preserve"> and/or NB-IoT)</w:t>
      </w:r>
    </w:p>
    <w:p w14:paraId="3A5C0279" w14:textId="77777777" w:rsidR="00B97D80" w:rsidRPr="00D44F1C" w:rsidRDefault="00B97D80" w:rsidP="00B97D80">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Other issues are not excluded</w:t>
      </w:r>
    </w:p>
    <w:p w14:paraId="6BCBF32E" w14:textId="34B92B5C" w:rsidR="00BB1353" w:rsidRDefault="00B97D80" w:rsidP="00085CDB">
      <w:r w:rsidRPr="00D44F1C">
        <w:rPr>
          <w:rFonts w:cs="Times"/>
          <w:lang w:eastAsia="zh-CN"/>
        </w:rPr>
        <w:t xml:space="preserve">Note: The “Issues” in common for </w:t>
      </w:r>
      <w:proofErr w:type="spellStart"/>
      <w:r w:rsidRPr="00D44F1C">
        <w:rPr>
          <w:rFonts w:cs="Times"/>
          <w:lang w:eastAsia="zh-CN"/>
        </w:rPr>
        <w:t>eMTC</w:t>
      </w:r>
      <w:proofErr w:type="spellEnd"/>
      <w:r w:rsidRPr="00D44F1C">
        <w:rPr>
          <w:rFonts w:cs="Times"/>
          <w:lang w:eastAsia="zh-CN"/>
        </w:rPr>
        <w:t xml:space="preserve"> and NB-IoT can be separately discussed.</w:t>
      </w:r>
    </w:p>
    <w:p w14:paraId="193BB232" w14:textId="5B48D280" w:rsidR="00A012A0" w:rsidRDefault="00085CDB" w:rsidP="00085CDB">
      <w:r>
        <w:t>In this contribution, we provide our</w:t>
      </w:r>
      <w:r w:rsidR="00412E27">
        <w:t xml:space="preserve"> </w:t>
      </w:r>
      <w:r>
        <w:t xml:space="preserve">views on </w:t>
      </w:r>
      <w:r w:rsidR="00412E27">
        <w:t xml:space="preserve">aspects related to </w:t>
      </w:r>
      <w:r w:rsidR="00407AA7">
        <w:t>disabling of HARQ feedback</w:t>
      </w:r>
      <w:r w:rsidR="00412E27">
        <w:t xml:space="preserve"> for IoT-NTN</w:t>
      </w:r>
    </w:p>
    <w:p w14:paraId="4B4AD578" w14:textId="30713ACD" w:rsidR="00DF3116" w:rsidRDefault="000C7D28" w:rsidP="00DF3116">
      <w:pPr>
        <w:pStyle w:val="Heading1"/>
        <w:numPr>
          <w:ilvl w:val="0"/>
          <w:numId w:val="1"/>
        </w:numPr>
        <w:tabs>
          <w:tab w:val="num" w:pos="720"/>
        </w:tabs>
        <w:ind w:left="720" w:hanging="720"/>
        <w:jc w:val="both"/>
      </w:pPr>
      <w:r>
        <w:lastRenderedPageBreak/>
        <w:t xml:space="preserve">Need for </w:t>
      </w:r>
      <w:r w:rsidR="00BF152C">
        <w:t>feedback disabled</w:t>
      </w:r>
      <w:r>
        <w:t xml:space="preserve"> HARQ processes</w:t>
      </w:r>
    </w:p>
    <w:p w14:paraId="23C7448F" w14:textId="77777777" w:rsidR="000C7D28" w:rsidRDefault="000C7D28" w:rsidP="000C7D28">
      <w:r>
        <w:t xml:space="preserve">In Table 1, we depict a scenario corresponding to a Set 1 GEO deployment, with a central beam centre DL SNR of </w:t>
      </w:r>
      <m:oMath>
        <m:r>
          <w:rPr>
            <w:rFonts w:ascii="Cambria Math" w:hAnsi="Cambria Math"/>
          </w:rPr>
          <m:t>-2.98</m:t>
        </m:r>
        <m:r>
          <w:rPr>
            <w:rFonts w:ascii="Cambria Math" w:hAnsi="Cambria Math"/>
            <w:color w:val="FF0000"/>
          </w:rPr>
          <m:t xml:space="preserve"> </m:t>
        </m:r>
        <m:r>
          <w:rPr>
            <w:rFonts w:ascii="Cambria Math" w:hAnsi="Cambria Math"/>
          </w:rPr>
          <m:t>dB</m:t>
        </m:r>
      </m:oMath>
      <w:r>
        <w:t xml:space="preserve"> and a central beam edge DL SNR of </w:t>
      </w:r>
      <m:oMath>
        <m:r>
          <w:rPr>
            <w:rFonts w:ascii="Cambria Math" w:hAnsi="Cambria Math"/>
          </w:rPr>
          <m:t>-3.24 dB</m:t>
        </m:r>
      </m:oMath>
      <w:r>
        <w:t xml:space="preserve">. For our link-level evaluations, we use an AWGN channel, which is realistic in the line-of-sight settings that characterize GEO NTN networks. We note that, under this situation, an NPDCCH transmission with a </w:t>
      </w:r>
      <m:oMath>
        <m:r>
          <w:rPr>
            <w:rFonts w:ascii="Cambria Math" w:hAnsi="Cambria Math"/>
          </w:rPr>
          <m:t>1%</m:t>
        </m:r>
      </m:oMath>
      <w:r>
        <w:t xml:space="preserve"> BLER requires </w:t>
      </w:r>
      <m:oMath>
        <m:r>
          <w:rPr>
            <w:rFonts w:ascii="Cambria Math" w:hAnsi="Cambria Math"/>
          </w:rPr>
          <m:t>4 ms (R = 4)</m:t>
        </m:r>
      </m:oMath>
      <w:r w:rsidRPr="00093F97">
        <w:t>,</w:t>
      </w:r>
      <w:r>
        <w:t xml:space="preserve"> while an NPDSCH transmission, for a TBS of </w:t>
      </w:r>
      <m:oMath>
        <m:r>
          <w:rPr>
            <w:rFonts w:ascii="Cambria Math" w:hAnsi="Cambria Math"/>
          </w:rPr>
          <m:t>1544</m:t>
        </m:r>
      </m:oMath>
      <w:r>
        <w:t xml:space="preserve"> bits </w:t>
      </w: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 xml:space="preserve">  = 9, </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 xml:space="preserve">=10) </m:t>
        </m:r>
      </m:oMath>
      <w:r>
        <w:t xml:space="preserve">, with 10% BLER requires </w:t>
      </w:r>
      <m:oMath>
        <m:r>
          <w:rPr>
            <w:rFonts w:ascii="Cambria Math" w:hAnsi="Cambria Math"/>
          </w:rPr>
          <m:t>40 ms</m:t>
        </m:r>
      </m:oMath>
      <w:r>
        <w:t xml:space="preserve">. The RTD—for the case where the timing reference is at the ground station—is </w:t>
      </w:r>
      <m:oMath>
        <m:r>
          <w:rPr>
            <w:rFonts w:ascii="Cambria Math" w:hAnsi="Cambria Math"/>
          </w:rPr>
          <m:t>541.46 ms</m:t>
        </m:r>
      </m:oMath>
      <w:r>
        <w:t xml:space="preserve">. </w:t>
      </w:r>
      <w:r w:rsidRPr="00110495">
        <w:t>In our analysis, we also account for the maximum delay in aligning with a NPDCCH search space</w:t>
      </w:r>
      <w:r>
        <w:t xml:space="preserve"> (we assume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=8</m:t>
        </m:r>
      </m:oMath>
      <w:r>
        <w:t>)</w:t>
      </w:r>
      <w:r w:rsidRPr="00110495">
        <w:t>, when determining the overall NPDCCH duration</w:t>
      </w:r>
      <w:r>
        <w:t>, in Table 1.</w:t>
      </w:r>
    </w:p>
    <w:p w14:paraId="2E9DEDC7" w14:textId="77777777" w:rsidR="000C7D28" w:rsidRDefault="000C7D28" w:rsidP="000C7D28">
      <w:pPr>
        <w:pStyle w:val="Caption"/>
        <w:keepNext/>
        <w:jc w:val="center"/>
      </w:pPr>
      <w:r>
        <w:t xml:space="preserve">Table </w:t>
      </w:r>
      <w:fldSimple w:instr=" SEQ Table \* ARABIC ">
        <w:r>
          <w:rPr>
            <w:noProof/>
          </w:rPr>
          <w:t>1</w:t>
        </w:r>
      </w:fldSimple>
      <w:r>
        <w:t>: Downlink SNRs and required transmission durations</w:t>
      </w:r>
      <w:r>
        <w:rPr>
          <w:noProof/>
        </w:rPr>
        <w:t xml:space="preserve"> in Set 1 GEO deployments.</w:t>
      </w:r>
    </w:p>
    <w:tbl>
      <w:tblPr>
        <w:tblStyle w:val="TableGrid"/>
        <w:tblW w:w="0" w:type="auto"/>
        <w:jc w:val="center"/>
        <w:tblLook w:val="04A0" w:firstRow="1" w:lastRow="0" w:firstColumn="1" w:lastColumn="0" w:noHBand="0" w:noVBand="1"/>
      </w:tblPr>
      <w:tblGrid>
        <w:gridCol w:w="1219"/>
        <w:gridCol w:w="1117"/>
        <w:gridCol w:w="1117"/>
        <w:gridCol w:w="2970"/>
        <w:gridCol w:w="3150"/>
      </w:tblGrid>
      <w:tr w:rsidR="000C7D28" w14:paraId="4338BD73" w14:textId="77777777" w:rsidTr="005A7D82">
        <w:trPr>
          <w:jc w:val="center"/>
        </w:trPr>
        <w:tc>
          <w:tcPr>
            <w:tcW w:w="1119" w:type="dxa"/>
            <w:shd w:val="clear" w:color="auto" w:fill="000000" w:themeFill="text1"/>
          </w:tcPr>
          <w:p w14:paraId="7BB7BE3C" w14:textId="77777777" w:rsidR="000C7D28" w:rsidRDefault="000C7D28" w:rsidP="005A7D82">
            <w:pPr>
              <w:jc w:val="center"/>
            </w:pPr>
            <w:r>
              <w:t>Round Trip Delay</w:t>
            </w:r>
          </w:p>
          <w:p w14:paraId="530A06EC" w14:textId="77777777" w:rsidR="000C7D28" w:rsidRDefault="003404DE" w:rsidP="005A7D82">
            <w:pPr>
              <w:jc w:val="center"/>
            </w:pPr>
            <m:oMathPara>
              <m:oMath>
                <m:d>
                  <m:dPr>
                    <m:ctrlPr>
                      <w:rPr>
                        <w:rFonts w:ascii="Cambria Math" w:hAnsi="Cambria Math"/>
                        <w:i/>
                      </w:rPr>
                    </m:ctrlPr>
                  </m:dPr>
                  <m:e>
                    <m:r>
                      <w:rPr>
                        <w:rFonts w:ascii="Cambria Math" w:hAnsi="Cambria Math"/>
                      </w:rPr>
                      <m:t>RTD</m:t>
                    </m:r>
                  </m:e>
                </m:d>
              </m:oMath>
            </m:oMathPara>
          </w:p>
        </w:tc>
        <w:tc>
          <w:tcPr>
            <w:tcW w:w="1036" w:type="dxa"/>
            <w:shd w:val="clear" w:color="auto" w:fill="000000" w:themeFill="text1"/>
          </w:tcPr>
          <w:p w14:paraId="42B860C7" w14:textId="77777777" w:rsidR="000C7D28" w:rsidRPr="00051E0B" w:rsidRDefault="000C7D28" w:rsidP="005A7D82">
            <w:pPr>
              <w:jc w:val="center"/>
            </w:pPr>
          </w:p>
          <w:p w14:paraId="3665925A" w14:textId="77777777" w:rsidR="000C7D28" w:rsidRDefault="000C7D28" w:rsidP="005A7D82">
            <w:pPr>
              <w:jc w:val="center"/>
            </w:pPr>
            <m:oMathPara>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edge</m:t>
                    </m:r>
                  </m:sub>
                </m:sSub>
              </m:oMath>
            </m:oMathPara>
          </w:p>
        </w:tc>
        <w:tc>
          <w:tcPr>
            <w:tcW w:w="1080" w:type="dxa"/>
            <w:shd w:val="clear" w:color="auto" w:fill="000000" w:themeFill="text1"/>
          </w:tcPr>
          <w:p w14:paraId="71AC5B49" w14:textId="77777777" w:rsidR="000C7D28" w:rsidRPr="00051E0B" w:rsidRDefault="000C7D28" w:rsidP="005A7D82">
            <w:pPr>
              <w:jc w:val="center"/>
            </w:pPr>
          </w:p>
          <w:p w14:paraId="7C37027E" w14:textId="77777777" w:rsidR="000C7D28" w:rsidRDefault="000C7D28" w:rsidP="005A7D82">
            <w:pPr>
              <w:jc w:val="center"/>
            </w:pPr>
            <m:oMathPara>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centre</m:t>
                    </m:r>
                  </m:sub>
                </m:sSub>
              </m:oMath>
            </m:oMathPara>
          </w:p>
        </w:tc>
        <w:tc>
          <w:tcPr>
            <w:tcW w:w="2970" w:type="dxa"/>
            <w:shd w:val="clear" w:color="auto" w:fill="000000" w:themeFill="text1"/>
          </w:tcPr>
          <w:p w14:paraId="65678918" w14:textId="77777777" w:rsidR="000C7D28" w:rsidRDefault="000C7D28" w:rsidP="005A7D82">
            <w:pPr>
              <w:jc w:val="center"/>
            </w:pPr>
            <w:r>
              <w:t>NPDCCH duration</w:t>
            </w:r>
          </w:p>
          <w:p w14:paraId="50033828" w14:textId="77777777" w:rsidR="000C7D28" w:rsidRDefault="000C7D28" w:rsidP="005A7D82">
            <w:pPr>
              <w:jc w:val="center"/>
            </w:pPr>
            <w:r>
              <w:t xml:space="preserve"> including max. scheduling time</w:t>
            </w:r>
          </w:p>
          <w:p w14:paraId="268E3997" w14:textId="77777777" w:rsidR="000C7D28" w:rsidRDefault="000C7D28" w:rsidP="005A7D82">
            <w:pPr>
              <w:jc w:val="center"/>
            </w:pPr>
            <w:r>
              <w:t>(1% BLER@</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edge</m:t>
                  </m:r>
                </m:sub>
              </m:sSub>
            </m:oMath>
            <w:r>
              <w:t>, AWGN)</w:t>
            </w:r>
          </w:p>
          <w:p w14:paraId="39440E47" w14:textId="77777777" w:rsidR="000C7D28" w:rsidRDefault="003404DE" w:rsidP="005A7D82">
            <w:pPr>
              <w:jc w:val="center"/>
            </w:pPr>
            <m:oMathPara>
              <m:oMath>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NPDCCH</m:t>
                        </m:r>
                      </m:sub>
                    </m:sSub>
                  </m:e>
                </m:d>
              </m:oMath>
            </m:oMathPara>
          </w:p>
        </w:tc>
        <w:tc>
          <w:tcPr>
            <w:tcW w:w="3150" w:type="dxa"/>
            <w:shd w:val="clear" w:color="auto" w:fill="000000" w:themeFill="text1"/>
          </w:tcPr>
          <w:p w14:paraId="02E48B05" w14:textId="77777777" w:rsidR="000C7D28" w:rsidRDefault="000C7D28" w:rsidP="005A7D82">
            <w:pPr>
              <w:jc w:val="center"/>
            </w:pPr>
            <w:r>
              <w:t>NPDSCH duration</w:t>
            </w:r>
          </w:p>
          <w:p w14:paraId="14B5EE66" w14:textId="77777777" w:rsidR="000C7D28" w:rsidRDefault="000C7D28" w:rsidP="005A7D82">
            <w:pPr>
              <w:jc w:val="center"/>
            </w:pPr>
            <w:r>
              <w:t>(10% BLER@</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edge</m:t>
                  </m:r>
                </m:sub>
              </m:sSub>
            </m:oMath>
            <w:r>
              <w:t xml:space="preserve">, AWGN, </w:t>
            </w:r>
            <m:oMath>
              <m:r>
                <w:rPr>
                  <w:rFonts w:ascii="Cambria Math" w:hAnsi="Cambria Math"/>
                </w:rPr>
                <m:t>TBS=1544</m:t>
              </m:r>
            </m:oMath>
            <w:r>
              <w:t xml:space="preserve"> bits)</w:t>
            </w:r>
          </w:p>
          <w:p w14:paraId="22877FA6" w14:textId="77777777" w:rsidR="000C7D28" w:rsidRDefault="003404DE" w:rsidP="005A7D82">
            <w:pPr>
              <w:jc w:val="center"/>
            </w:pPr>
            <m:oMathPara>
              <m:oMath>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NPDSCH</m:t>
                        </m:r>
                      </m:sub>
                    </m:sSub>
                  </m:e>
                </m:d>
              </m:oMath>
            </m:oMathPara>
          </w:p>
        </w:tc>
      </w:tr>
      <w:tr w:rsidR="000C7D28" w14:paraId="7796CFED" w14:textId="77777777" w:rsidTr="005A7D82">
        <w:trPr>
          <w:jc w:val="center"/>
        </w:trPr>
        <w:tc>
          <w:tcPr>
            <w:tcW w:w="1119" w:type="dxa"/>
          </w:tcPr>
          <w:p w14:paraId="72C8BCD1" w14:textId="77777777" w:rsidR="000C7D28" w:rsidRPr="00F03B24" w:rsidRDefault="000C7D28" w:rsidP="005A7D82">
            <w:pPr>
              <w:jc w:val="center"/>
              <w:rPr>
                <w:rFonts w:ascii="Cambria Math" w:hAnsi="Cambria Math"/>
                <w:oMath/>
              </w:rPr>
            </w:pPr>
            <m:oMathPara>
              <m:oMath>
                <m:r>
                  <m:rPr>
                    <m:sty m:val="bi"/>
                  </m:rPr>
                  <w:rPr>
                    <w:rFonts w:ascii="Cambria Math" w:hAnsi="Cambria Math"/>
                  </w:rPr>
                  <m:t>541.46 ms</m:t>
                </m:r>
              </m:oMath>
            </m:oMathPara>
          </w:p>
        </w:tc>
        <w:tc>
          <w:tcPr>
            <w:tcW w:w="1036" w:type="dxa"/>
          </w:tcPr>
          <w:p w14:paraId="1A00882D" w14:textId="77777777" w:rsidR="000C7D28" w:rsidRPr="00F03B24" w:rsidRDefault="000C7D28" w:rsidP="005A7D82">
            <w:pPr>
              <w:jc w:val="center"/>
              <w:rPr>
                <w:rFonts w:ascii="Cambria Math" w:hAnsi="Cambria Math"/>
                <w:oMath/>
              </w:rPr>
            </w:pPr>
            <m:oMathPara>
              <m:oMath>
                <m:r>
                  <m:rPr>
                    <m:sty m:val="bi"/>
                  </m:rPr>
                  <w:rPr>
                    <w:rFonts w:ascii="Cambria Math" w:hAnsi="Cambria Math"/>
                  </w:rPr>
                  <m:t>-3.24 dB</m:t>
                </m:r>
              </m:oMath>
            </m:oMathPara>
          </w:p>
        </w:tc>
        <w:tc>
          <w:tcPr>
            <w:tcW w:w="1080" w:type="dxa"/>
          </w:tcPr>
          <w:p w14:paraId="2174EFB4" w14:textId="77777777" w:rsidR="000C7D28" w:rsidRPr="00F03B24" w:rsidRDefault="000C7D28" w:rsidP="005A7D82">
            <w:pPr>
              <w:jc w:val="center"/>
              <w:rPr>
                <w:rFonts w:ascii="Cambria Math" w:hAnsi="Cambria Math"/>
                <w:oMath/>
              </w:rPr>
            </w:pPr>
            <m:oMathPara>
              <m:oMath>
                <m:r>
                  <m:rPr>
                    <m:sty m:val="bi"/>
                  </m:rPr>
                  <w:rPr>
                    <w:rFonts w:ascii="Cambria Math" w:hAnsi="Cambria Math"/>
                  </w:rPr>
                  <m:t>-2.98 dB</m:t>
                </m:r>
              </m:oMath>
            </m:oMathPara>
          </w:p>
        </w:tc>
        <w:tc>
          <w:tcPr>
            <w:tcW w:w="2970" w:type="dxa"/>
          </w:tcPr>
          <w:p w14:paraId="1E1C9F90" w14:textId="77777777" w:rsidR="000C7D28" w:rsidRPr="00F03B24" w:rsidRDefault="000C7D28" w:rsidP="005A7D82">
            <w:pPr>
              <w:jc w:val="center"/>
              <w:rPr>
                <w:rFonts w:ascii="Cambria Math" w:hAnsi="Cambria Math"/>
                <w:oMath/>
              </w:rPr>
            </w:pPr>
            <m:oMathPara>
              <m:oMath>
                <m:r>
                  <m:rPr>
                    <m:sty m:val="bi"/>
                  </m:rPr>
                  <w:rPr>
                    <w:rFonts w:ascii="Cambria Math" w:hAnsi="Cambria Math"/>
                  </w:rPr>
                  <m:t xml:space="preserve"> 4+7=11</m:t>
                </m:r>
                <m:r>
                  <m:rPr>
                    <m:sty m:val="bi"/>
                  </m:rPr>
                  <w:rPr>
                    <w:rFonts w:ascii="Cambria Math" w:hAnsi="Cambria Math"/>
                  </w:rPr>
                  <m:t>ms</m:t>
                </m:r>
              </m:oMath>
            </m:oMathPara>
          </w:p>
        </w:tc>
        <w:tc>
          <w:tcPr>
            <w:tcW w:w="3150" w:type="dxa"/>
          </w:tcPr>
          <w:p w14:paraId="4B22229D" w14:textId="77777777" w:rsidR="000C7D28" w:rsidRPr="00F03B24" w:rsidRDefault="000C7D28" w:rsidP="005A7D82">
            <w:pPr>
              <w:jc w:val="center"/>
              <w:rPr>
                <w:rFonts w:ascii="Cambria Math" w:hAnsi="Cambria Math"/>
                <w:oMath/>
              </w:rPr>
            </w:pPr>
            <m:oMathPara>
              <m:oMath>
                <m:r>
                  <m:rPr>
                    <m:sty m:val="bi"/>
                  </m:rPr>
                  <w:rPr>
                    <w:rFonts w:ascii="Cambria Math" w:hAnsi="Cambria Math"/>
                  </w:rPr>
                  <m:t>4×10=40</m:t>
                </m:r>
                <m:r>
                  <m:rPr>
                    <m:sty m:val="bi"/>
                  </m:rPr>
                  <w:rPr>
                    <w:rFonts w:ascii="Cambria Math" w:hAnsi="Cambria Math"/>
                  </w:rPr>
                  <m:t>ms</m:t>
                </m:r>
              </m:oMath>
            </m:oMathPara>
          </w:p>
        </w:tc>
      </w:tr>
    </w:tbl>
    <w:p w14:paraId="6FB3B0B4" w14:textId="77777777" w:rsidR="000C7D28" w:rsidRDefault="000C7D28" w:rsidP="000C7D28"/>
    <w:p w14:paraId="5B8EE219" w14:textId="5BE23FC1" w:rsidR="000C7D28" w:rsidRDefault="000C7D28" w:rsidP="000C7D28">
      <w:r>
        <w:t xml:space="preserve">In Table 2, we depict the throughput/latency penalty that is incurred, if we do not support </w:t>
      </w:r>
      <w:r w:rsidR="00012684">
        <w:t xml:space="preserve">any </w:t>
      </w:r>
      <w:r>
        <w:t xml:space="preserve">HARQ process with HARQ-ACK feedback disabled. The </w:t>
      </w:r>
      <m:oMath>
        <m:sSub>
          <m:sSubPr>
            <m:ctrlPr>
              <w:rPr>
                <w:rFonts w:ascii="Cambria Math" w:hAnsi="Cambria Math"/>
                <w:i/>
              </w:rPr>
            </m:ctrlPr>
          </m:sSubPr>
          <m:e>
            <m:r>
              <w:rPr>
                <w:rFonts w:ascii="Cambria Math" w:hAnsi="Cambria Math"/>
              </w:rPr>
              <m:t>T</m:t>
            </m:r>
          </m:e>
          <m:sub>
            <m:r>
              <w:rPr>
                <w:rFonts w:ascii="Cambria Math" w:hAnsi="Cambria Math"/>
              </w:rPr>
              <m:t>NPDCCH</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NPDSCH</m:t>
            </m:r>
          </m:sub>
        </m:sSub>
      </m:oMath>
      <w:r>
        <w:t xml:space="preserve"> values are taken from Table 1. In our calculations, we assume a </w:t>
      </w:r>
      <m:oMath>
        <m:r>
          <w:rPr>
            <w:rFonts w:ascii="Cambria Math" w:hAnsi="Cambria Math"/>
          </w:rPr>
          <m:t>4 ms</m:t>
        </m:r>
      </m:oMath>
      <w:r>
        <w:t xml:space="preserve"> delay from NPDCCH</w:t>
      </w:r>
      <w:r>
        <w:sym w:font="Wingdings" w:char="F0E0"/>
      </w:r>
      <w:r>
        <w:t>NPDSCH, and the minimum value of the NPDSCH</w:t>
      </w:r>
      <w:r>
        <w:sym w:font="Wingdings" w:char="F0E0"/>
      </w:r>
      <w:r>
        <w:t xml:space="preserve">HARQ-ACK delay, i.e.,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=13</m:t>
        </m:r>
      </m:oMath>
      <w:r>
        <w:t xml:space="preserve">, for a fair comparison. The timelines used for the calculations are depicted in Fig. 1 for a NB-IoT UE with a single HARQ process. </w:t>
      </w:r>
    </w:p>
    <w:p w14:paraId="1384CAE7" w14:textId="77777777" w:rsidR="000C7D28" w:rsidRDefault="000C7D28" w:rsidP="000C7D28">
      <w:pPr>
        <w:keepNext/>
        <w:jc w:val="center"/>
      </w:pPr>
      <w:r>
        <w:rPr>
          <w:noProof/>
        </w:rPr>
        <w:drawing>
          <wp:inline distT="0" distB="0" distL="0" distR="0" wp14:anchorId="6928FAD3" wp14:editId="642B562E">
            <wp:extent cx="5865571" cy="3028517"/>
            <wp:effectExtent l="0" t="0" r="1905" b="0"/>
            <wp:docPr id="1" name="Picture 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96864" cy="3044674"/>
                    </a:xfrm>
                    <a:prstGeom prst="rect">
                      <a:avLst/>
                    </a:prstGeom>
                    <a:noFill/>
                  </pic:spPr>
                </pic:pic>
              </a:graphicData>
            </a:graphic>
          </wp:inline>
        </w:drawing>
      </w:r>
    </w:p>
    <w:p w14:paraId="6868B005" w14:textId="77777777" w:rsidR="000C7D28" w:rsidRDefault="000C7D28" w:rsidP="000C7D28">
      <w:pPr>
        <w:pStyle w:val="Caption"/>
        <w:jc w:val="center"/>
      </w:pPr>
      <w:r>
        <w:t xml:space="preserve">Figure </w:t>
      </w:r>
      <w:fldSimple w:instr=" SEQ Figure \* ARABIC ">
        <w:r>
          <w:rPr>
            <w:noProof/>
          </w:rPr>
          <w:t>1</w:t>
        </w:r>
      </w:fldSimple>
      <w:r>
        <w:t>: Scheduling timelines for a NB-IoT UE with a single HARQ process. The top figure depicts scheduling without feedback disabling, while the bottom figure depicts scheduling when feedback disabling is supported.</w:t>
      </w:r>
    </w:p>
    <w:p w14:paraId="1335A130" w14:textId="77777777" w:rsidR="000C7D28" w:rsidRDefault="000C7D28" w:rsidP="000C7D28">
      <w:r>
        <w:t xml:space="preserve">Further, for the case of </w:t>
      </w:r>
      <m:oMath>
        <m:r>
          <w:rPr>
            <w:rFonts w:ascii="Cambria Math" w:hAnsi="Cambria Math"/>
          </w:rPr>
          <m:t>2</m:t>
        </m:r>
      </m:oMath>
      <w:r>
        <w:t xml:space="preserve"> HARQ processes without feedback disabling, we assume that the 2</w:t>
      </w:r>
      <w:r w:rsidRPr="000172CD">
        <w:rPr>
          <w:vertAlign w:val="superscript"/>
        </w:rPr>
        <w:t>nd</w:t>
      </w:r>
      <w:r>
        <w:t xml:space="preserve"> TB can be transmitted within the RTD that starts after the HARQ ACK for the 1</w:t>
      </w:r>
      <w:r w:rsidRPr="005E71C2">
        <w:rPr>
          <w:vertAlign w:val="superscript"/>
        </w:rPr>
        <w:t>st</w:t>
      </w:r>
      <w:r>
        <w:t xml:space="preserve"> TB is sent—this also ensures fairness, since the time taken to transmit </w:t>
      </w:r>
      <m:oMath>
        <m:r>
          <w:rPr>
            <w:rFonts w:ascii="Cambria Math" w:hAnsi="Cambria Math"/>
          </w:rPr>
          <m:t>2</m:t>
        </m:r>
      </m:oMath>
      <w:r>
        <w:t xml:space="preserve"> TBs without feedback disabling is the same as that taken to transmit </w:t>
      </w:r>
      <m:oMath>
        <m:r>
          <w:rPr>
            <w:rFonts w:ascii="Cambria Math" w:hAnsi="Cambria Math"/>
          </w:rPr>
          <m:t>1</m:t>
        </m:r>
      </m:oMath>
      <w:r>
        <w:t xml:space="preserve"> TB. </w:t>
      </w:r>
    </w:p>
    <w:p w14:paraId="0B755B19" w14:textId="77777777" w:rsidR="000C7D28" w:rsidRPr="005D619F" w:rsidRDefault="000C7D28" w:rsidP="000C7D28">
      <w:r>
        <w:t>In Table 2, we see the significant impact on throughput/latency due to the large RTD (</w:t>
      </w:r>
      <m:oMath>
        <m:r>
          <w:rPr>
            <w:rFonts w:ascii="Cambria Math" w:hAnsi="Cambria Math"/>
          </w:rPr>
          <m:t>&gt;11x</m:t>
        </m:r>
      </m:oMath>
      <w:r>
        <w:t xml:space="preserve"> for 1 HARQ process, and </w:t>
      </w:r>
      <m:oMath>
        <m:r>
          <w:rPr>
            <w:rFonts w:ascii="Cambria Math" w:hAnsi="Cambria Math"/>
          </w:rPr>
          <m:t>&gt;5.5x</m:t>
        </m:r>
      </m:oMath>
      <w:r>
        <w:t xml:space="preserve"> for 2 HARQ processes), when feedback disabling is not supported. In practice, due to the much inferior uplink budgets, the </w:t>
      </w:r>
      <m:oMath>
        <m:sSub>
          <m:sSubPr>
            <m:ctrlPr>
              <w:rPr>
                <w:rFonts w:ascii="Cambria Math" w:hAnsi="Cambria Math"/>
                <w:i/>
              </w:rPr>
            </m:ctrlPr>
          </m:sSubPr>
          <m:e>
            <m:r>
              <w:rPr>
                <w:rFonts w:ascii="Cambria Math" w:hAnsi="Cambria Math"/>
              </w:rPr>
              <m:t>T</m:t>
            </m:r>
          </m:e>
          <m:sub>
            <m:r>
              <w:rPr>
                <w:rFonts w:ascii="Cambria Math" w:hAnsi="Cambria Math"/>
              </w:rPr>
              <m:t>ACK</m:t>
            </m:r>
          </m:sub>
        </m:sSub>
      </m:oMath>
      <w:r>
        <w:t xml:space="preserve"> value may be quite large, thereby exacerbating the impact further.</w:t>
      </w:r>
    </w:p>
    <w:p w14:paraId="6AD68B8C" w14:textId="77777777" w:rsidR="000C7D28" w:rsidRDefault="000C7D28" w:rsidP="000C7D28">
      <w:pPr>
        <w:pStyle w:val="Caption"/>
        <w:keepNext/>
        <w:jc w:val="center"/>
      </w:pPr>
      <w:r>
        <w:lastRenderedPageBreak/>
        <w:t xml:space="preserve">Table </w:t>
      </w:r>
      <w:fldSimple w:instr=" SEQ Table \* ARABIC ">
        <w:r>
          <w:rPr>
            <w:noProof/>
          </w:rPr>
          <w:t>2</w:t>
        </w:r>
      </w:fldSimple>
      <w:r>
        <w:t>: Throughput/Latency penalty from not supporting feedback disabled HARQ processes.</w:t>
      </w:r>
    </w:p>
    <w:tbl>
      <w:tblPr>
        <w:tblStyle w:val="TableGrid"/>
        <w:tblW w:w="0" w:type="auto"/>
        <w:tblLook w:val="04A0" w:firstRow="1" w:lastRow="0" w:firstColumn="1" w:lastColumn="0" w:noHBand="0" w:noVBand="1"/>
      </w:tblPr>
      <w:tblGrid>
        <w:gridCol w:w="1255"/>
        <w:gridCol w:w="1530"/>
        <w:gridCol w:w="3870"/>
        <w:gridCol w:w="2974"/>
      </w:tblGrid>
      <w:tr w:rsidR="000C7D28" w14:paraId="707DAE68" w14:textId="77777777" w:rsidTr="005A7D82">
        <w:tc>
          <w:tcPr>
            <w:tcW w:w="1255" w:type="dxa"/>
            <w:shd w:val="clear" w:color="auto" w:fill="000000" w:themeFill="text1"/>
          </w:tcPr>
          <w:p w14:paraId="43B472B8" w14:textId="77777777" w:rsidR="000C7D28" w:rsidRDefault="000C7D28" w:rsidP="005A7D82">
            <w:pPr>
              <w:jc w:val="center"/>
            </w:pPr>
            <w:r>
              <w:t>Number of HARQ processes</w:t>
            </w:r>
          </w:p>
          <w:p w14:paraId="7CA1D63B" w14:textId="77777777" w:rsidR="000C7D28" w:rsidRDefault="000C7D28" w:rsidP="005A7D82">
            <w:pPr>
              <w:jc w:val="center"/>
            </w:pPr>
            <m:oMathPara>
              <m:oMath>
                <m:r>
                  <w:rPr>
                    <w:rFonts w:ascii="Cambria Math" w:hAnsi="Cambria Math"/>
                  </w:rPr>
                  <m:t>(H)</m:t>
                </m:r>
              </m:oMath>
            </m:oMathPara>
          </w:p>
        </w:tc>
        <w:tc>
          <w:tcPr>
            <w:tcW w:w="1530" w:type="dxa"/>
            <w:shd w:val="clear" w:color="auto" w:fill="000000" w:themeFill="text1"/>
          </w:tcPr>
          <w:p w14:paraId="67A48A05" w14:textId="77777777" w:rsidR="000C7D28" w:rsidRDefault="000C7D28" w:rsidP="005A7D82">
            <w:pPr>
              <w:jc w:val="center"/>
            </w:pPr>
            <w:r>
              <w:t>HARQ Feedback Mode</w:t>
            </w:r>
          </w:p>
        </w:tc>
        <w:tc>
          <w:tcPr>
            <w:tcW w:w="3870" w:type="dxa"/>
            <w:shd w:val="clear" w:color="auto" w:fill="000000" w:themeFill="text1"/>
          </w:tcPr>
          <w:p w14:paraId="2E4FD3EF" w14:textId="77777777" w:rsidR="000C7D28" w:rsidRDefault="000C7D28" w:rsidP="005A7D82">
            <w:pPr>
              <w:jc w:val="center"/>
            </w:pPr>
            <w:r>
              <w:t xml:space="preserve">Time to transmit </w:t>
            </w:r>
            <m:oMath>
              <m:r>
                <w:rPr>
                  <w:rFonts w:ascii="Cambria Math" w:hAnsi="Cambria Math"/>
                </w:rPr>
                <m:t>H</m:t>
              </m:r>
            </m:oMath>
            <w:r>
              <w:t xml:space="preserve"> TBs</w:t>
            </w:r>
          </w:p>
          <w:p w14:paraId="478243CD" w14:textId="77777777" w:rsidR="000C7D28" w:rsidRDefault="003404DE" w:rsidP="005A7D82">
            <w:pPr>
              <w:jc w:val="center"/>
            </w:pPr>
            <m:oMathPara>
              <m:oMath>
                <m:d>
                  <m:dPr>
                    <m:ctrlPr>
                      <w:rPr>
                        <w:rFonts w:ascii="Cambria Math" w:hAnsi="Cambria Math"/>
                        <w:i/>
                      </w:rPr>
                    </m:ctrlPr>
                  </m:dPr>
                  <m:e>
                    <m:r>
                      <w:rPr>
                        <w:rFonts w:ascii="Cambria Math" w:hAnsi="Cambria Math"/>
                      </w:rPr>
                      <m:t>ms</m:t>
                    </m:r>
                  </m:e>
                </m:d>
              </m:oMath>
            </m:oMathPara>
          </w:p>
        </w:tc>
        <w:tc>
          <w:tcPr>
            <w:tcW w:w="2974" w:type="dxa"/>
            <w:shd w:val="clear" w:color="auto" w:fill="000000" w:themeFill="text1"/>
          </w:tcPr>
          <w:p w14:paraId="6B6FF05A" w14:textId="77777777" w:rsidR="000C7D28" w:rsidRDefault="000C7D28" w:rsidP="005A7D82">
            <w:pPr>
              <w:jc w:val="center"/>
            </w:pPr>
            <w:r>
              <w:t xml:space="preserve">Throughput loss </w:t>
            </w:r>
          </w:p>
          <w:p w14:paraId="4064A794" w14:textId="77777777" w:rsidR="000C7D28" w:rsidRDefault="000C7D28" w:rsidP="005A7D82">
            <w:pPr>
              <w:jc w:val="center"/>
            </w:pPr>
            <w:r>
              <w:t>= Latency penalty (to transmit the same payload)</w:t>
            </w:r>
          </w:p>
        </w:tc>
      </w:tr>
      <w:tr w:rsidR="000C7D28" w14:paraId="3878EF58" w14:textId="77777777" w:rsidTr="005A7D82">
        <w:tc>
          <w:tcPr>
            <w:tcW w:w="1255" w:type="dxa"/>
            <w:vMerge w:val="restart"/>
          </w:tcPr>
          <w:p w14:paraId="2098BD3A" w14:textId="77777777" w:rsidR="000C7D28" w:rsidRDefault="000C7D28" w:rsidP="005A7D82">
            <w:pPr>
              <w:jc w:val="center"/>
            </w:pPr>
            <w:r>
              <w:t>1</w:t>
            </w:r>
          </w:p>
        </w:tc>
        <w:tc>
          <w:tcPr>
            <w:tcW w:w="1530" w:type="dxa"/>
          </w:tcPr>
          <w:p w14:paraId="1EA00DD9" w14:textId="77777777" w:rsidR="000C7D28" w:rsidRDefault="000C7D28" w:rsidP="005A7D82">
            <w:pPr>
              <w:jc w:val="center"/>
            </w:pPr>
            <w:r>
              <w:t>With disabling</w:t>
            </w:r>
          </w:p>
        </w:tc>
        <w:tc>
          <w:tcPr>
            <w:tcW w:w="3870" w:type="dxa"/>
          </w:tcPr>
          <w:p w14:paraId="7D400503" w14:textId="77777777" w:rsidR="000C7D28" w:rsidRPr="00337829" w:rsidRDefault="003404DE" w:rsidP="005A7D82">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NPDCCH</m:t>
                    </m:r>
                  </m:sub>
                </m:sSub>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NPDSCH</m:t>
                    </m:r>
                  </m:sub>
                </m:sSub>
              </m:oMath>
            </m:oMathPara>
          </w:p>
          <w:p w14:paraId="1C0D335C" w14:textId="77777777" w:rsidR="000C7D28" w:rsidRPr="00337829" w:rsidRDefault="000C7D28" w:rsidP="005A7D82">
            <w:pPr>
              <w:jc w:val="center"/>
            </w:pPr>
            <m:oMathPara>
              <m:oMath>
                <m:r>
                  <w:rPr>
                    <w:rFonts w:ascii="Cambria Math" w:hAnsi="Cambria Math"/>
                  </w:rPr>
                  <m:t>= 55 ms</m:t>
                </m:r>
              </m:oMath>
            </m:oMathPara>
          </w:p>
        </w:tc>
        <w:tc>
          <w:tcPr>
            <w:tcW w:w="2974" w:type="dxa"/>
          </w:tcPr>
          <w:p w14:paraId="41782039" w14:textId="77777777" w:rsidR="000C7D28" w:rsidRDefault="000C7D28" w:rsidP="005A7D82">
            <w:pPr>
              <w:jc w:val="center"/>
            </w:pPr>
            <m:oMathPara>
              <m:oMath>
                <m:r>
                  <w:rPr>
                    <w:rFonts w:ascii="Cambria Math" w:hAnsi="Cambria Math"/>
                  </w:rPr>
                  <m:t>-</m:t>
                </m:r>
              </m:oMath>
            </m:oMathPara>
          </w:p>
        </w:tc>
      </w:tr>
      <w:tr w:rsidR="000C7D28" w14:paraId="0BF097A8" w14:textId="77777777" w:rsidTr="005A7D82">
        <w:tc>
          <w:tcPr>
            <w:tcW w:w="1255" w:type="dxa"/>
            <w:vMerge/>
          </w:tcPr>
          <w:p w14:paraId="1282C522" w14:textId="77777777" w:rsidR="000C7D28" w:rsidRDefault="000C7D28" w:rsidP="005A7D82">
            <w:pPr>
              <w:jc w:val="center"/>
            </w:pPr>
          </w:p>
        </w:tc>
        <w:tc>
          <w:tcPr>
            <w:tcW w:w="1530" w:type="dxa"/>
            <w:shd w:val="clear" w:color="auto" w:fill="002060"/>
          </w:tcPr>
          <w:p w14:paraId="3DD16BBD" w14:textId="77777777" w:rsidR="000C7D28" w:rsidRDefault="000C7D28" w:rsidP="005A7D82">
            <w:pPr>
              <w:jc w:val="center"/>
            </w:pPr>
            <w:r>
              <w:t>No disabling</w:t>
            </w:r>
          </w:p>
        </w:tc>
        <w:tc>
          <w:tcPr>
            <w:tcW w:w="3870" w:type="dxa"/>
            <w:shd w:val="clear" w:color="auto" w:fill="002060"/>
          </w:tcPr>
          <w:p w14:paraId="261F08F4" w14:textId="77777777" w:rsidR="000C7D28" w:rsidRPr="00CB7FCE" w:rsidRDefault="003404DE" w:rsidP="005A7D82">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NPDCCH</m:t>
                    </m:r>
                  </m:sub>
                </m:sSub>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NPDSCH</m:t>
                    </m:r>
                  </m:sub>
                </m:sSub>
                <m:r>
                  <w:rPr>
                    <w:rFonts w:ascii="Cambria Math" w:hAnsi="Cambria Math"/>
                  </w:rPr>
                  <m:t>+</m:t>
                </m:r>
              </m:oMath>
            </m:oMathPara>
          </w:p>
          <w:p w14:paraId="0FA74392" w14:textId="77777777" w:rsidR="000C7D28" w:rsidRPr="0074622B" w:rsidRDefault="003404DE" w:rsidP="005A7D82">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 xml:space="preserve"> +  RTD</m:t>
                </m:r>
              </m:oMath>
            </m:oMathPara>
          </w:p>
          <w:p w14:paraId="1ED80418" w14:textId="77777777" w:rsidR="000C7D28" w:rsidRPr="0074622B" w:rsidRDefault="000C7D28" w:rsidP="005A7D82">
            <w:pPr>
              <w:jc w:val="center"/>
            </w:pPr>
            <m:oMathPara>
              <m:oMath>
                <m:r>
                  <w:rPr>
                    <w:rFonts w:ascii="Cambria Math" w:hAnsi="Cambria Math"/>
                  </w:rPr>
                  <m:t>=</m:t>
                </m:r>
                <m:d>
                  <m:dPr>
                    <m:ctrlPr>
                      <w:rPr>
                        <w:rFonts w:ascii="Cambria Math" w:hAnsi="Cambria Math"/>
                        <w:i/>
                      </w:rPr>
                    </m:ctrlPr>
                  </m:dPr>
                  <m:e>
                    <m:r>
                      <w:rPr>
                        <w:rFonts w:ascii="Cambria Math" w:hAnsi="Cambria Math"/>
                      </w:rPr>
                      <m:t>608.46+</m:t>
                    </m:r>
                    <m:sSub>
                      <m:sSubPr>
                        <m:ctrlPr>
                          <w:rPr>
                            <w:rFonts w:ascii="Cambria Math" w:hAnsi="Cambria Math"/>
                            <w:i/>
                          </w:rPr>
                        </m:ctrlPr>
                      </m:sSubPr>
                      <m:e>
                        <m:r>
                          <w:rPr>
                            <w:rFonts w:ascii="Cambria Math" w:hAnsi="Cambria Math"/>
                          </w:rPr>
                          <m:t>T</m:t>
                        </m:r>
                      </m:e>
                      <m:sub>
                        <m:r>
                          <w:rPr>
                            <w:rFonts w:ascii="Cambria Math" w:hAnsi="Cambria Math"/>
                          </w:rPr>
                          <m:t>ACK</m:t>
                        </m:r>
                      </m:sub>
                    </m:sSub>
                  </m:e>
                </m:d>
                <m:r>
                  <w:rPr>
                    <w:rFonts w:ascii="Cambria Math" w:hAnsi="Cambria Math"/>
                  </w:rPr>
                  <m:t xml:space="preserve"> ms</m:t>
                </m:r>
              </m:oMath>
            </m:oMathPara>
          </w:p>
        </w:tc>
        <w:tc>
          <w:tcPr>
            <w:tcW w:w="2974" w:type="dxa"/>
            <w:shd w:val="clear" w:color="auto" w:fill="002060"/>
          </w:tcPr>
          <w:p w14:paraId="6021CE34" w14:textId="77777777" w:rsidR="000C7D28" w:rsidRDefault="003404DE" w:rsidP="005A7D82">
            <w:pPr>
              <w:jc w:val="center"/>
            </w:pPr>
            <m:oMathPara>
              <m:oMath>
                <m:f>
                  <m:fPr>
                    <m:ctrlPr>
                      <w:rPr>
                        <w:rFonts w:ascii="Cambria Math" w:hAnsi="Cambria Math"/>
                        <w:i/>
                      </w:rPr>
                    </m:ctrlPr>
                  </m:fPr>
                  <m:num>
                    <m:r>
                      <w:rPr>
                        <w:rFonts w:ascii="Cambria Math" w:hAnsi="Cambria Math"/>
                      </w:rPr>
                      <m:t>608.46+</m:t>
                    </m:r>
                    <m:sSub>
                      <m:sSubPr>
                        <m:ctrlPr>
                          <w:rPr>
                            <w:rFonts w:ascii="Cambria Math" w:hAnsi="Cambria Math"/>
                            <w:i/>
                          </w:rPr>
                        </m:ctrlPr>
                      </m:sSubPr>
                      <m:e>
                        <m:r>
                          <w:rPr>
                            <w:rFonts w:ascii="Cambria Math" w:hAnsi="Cambria Math"/>
                          </w:rPr>
                          <m:t>T</m:t>
                        </m:r>
                      </m:e>
                      <m:sub>
                        <m:r>
                          <w:rPr>
                            <w:rFonts w:ascii="Cambria Math" w:hAnsi="Cambria Math"/>
                          </w:rPr>
                          <m:t>ACK</m:t>
                        </m:r>
                      </m:sub>
                    </m:sSub>
                  </m:num>
                  <m:den>
                    <m:r>
                      <w:rPr>
                        <w:rFonts w:ascii="Cambria Math" w:hAnsi="Cambria Math"/>
                      </w:rPr>
                      <m:t>55</m:t>
                    </m:r>
                  </m:den>
                </m:f>
                <m:r>
                  <m:rPr>
                    <m:sty m:val="bi"/>
                  </m:rPr>
                  <w:rPr>
                    <w:rFonts w:ascii="Cambria Math" w:hAnsi="Cambria Math"/>
                  </w:rPr>
                  <m:t>&gt;11.06</m:t>
                </m:r>
                <m:r>
                  <m:rPr>
                    <m:sty m:val="bi"/>
                  </m:rPr>
                  <w:rPr>
                    <w:rFonts w:ascii="Cambria Math" w:hAnsi="Cambria Math"/>
                  </w:rPr>
                  <m:t>x</m:t>
                </m:r>
              </m:oMath>
            </m:oMathPara>
          </w:p>
        </w:tc>
      </w:tr>
      <w:tr w:rsidR="000C7D28" w14:paraId="1677B021" w14:textId="77777777" w:rsidTr="005A7D82">
        <w:tc>
          <w:tcPr>
            <w:tcW w:w="1255" w:type="dxa"/>
            <w:vMerge w:val="restart"/>
          </w:tcPr>
          <w:p w14:paraId="27F6B7B0" w14:textId="77777777" w:rsidR="000C7D28" w:rsidRDefault="000C7D28" w:rsidP="005A7D82">
            <w:pPr>
              <w:jc w:val="center"/>
            </w:pPr>
            <w:r>
              <w:t>2</w:t>
            </w:r>
          </w:p>
        </w:tc>
        <w:tc>
          <w:tcPr>
            <w:tcW w:w="1530" w:type="dxa"/>
          </w:tcPr>
          <w:p w14:paraId="3EF1A27F" w14:textId="77777777" w:rsidR="000C7D28" w:rsidRDefault="000C7D28" w:rsidP="005A7D82">
            <w:pPr>
              <w:jc w:val="center"/>
            </w:pPr>
            <w:r>
              <w:t>With disabling</w:t>
            </w:r>
          </w:p>
        </w:tc>
        <w:tc>
          <w:tcPr>
            <w:tcW w:w="3870" w:type="dxa"/>
          </w:tcPr>
          <w:p w14:paraId="56F3A785" w14:textId="77777777" w:rsidR="000C7D28" w:rsidRDefault="000C7D28" w:rsidP="005A7D82">
            <w:pPr>
              <w:jc w:val="center"/>
            </w:pPr>
            <m:oMath>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NPDCCH</m:t>
                  </m:r>
                </m:sub>
              </m:sSub>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NPDSCH</m:t>
                  </m:r>
                </m:sub>
              </m:sSub>
            </m:oMath>
            <w:r>
              <w:t xml:space="preserve">) </w:t>
            </w:r>
          </w:p>
          <w:p w14:paraId="5C6E7ACC" w14:textId="77777777" w:rsidR="000C7D28" w:rsidRDefault="000C7D28" w:rsidP="005A7D82">
            <w:pPr>
              <w:jc w:val="center"/>
            </w:pPr>
            <m:oMath>
              <m:r>
                <w:rPr>
                  <w:rFonts w:ascii="Cambria Math" w:hAnsi="Cambria Math"/>
                </w:rPr>
                <m:t>=110 ms</m:t>
              </m:r>
            </m:oMath>
            <w:r>
              <w:t xml:space="preserve"> </w:t>
            </w:r>
          </w:p>
        </w:tc>
        <w:tc>
          <w:tcPr>
            <w:tcW w:w="2974" w:type="dxa"/>
          </w:tcPr>
          <w:p w14:paraId="1569CA04" w14:textId="77777777" w:rsidR="000C7D28" w:rsidRDefault="000C7D28" w:rsidP="005A7D82">
            <w:pPr>
              <w:jc w:val="center"/>
            </w:pPr>
            <m:oMathPara>
              <m:oMath>
                <m:r>
                  <w:rPr>
                    <w:rFonts w:ascii="Cambria Math" w:hAnsi="Cambria Math"/>
                  </w:rPr>
                  <m:t>-</m:t>
                </m:r>
              </m:oMath>
            </m:oMathPara>
          </w:p>
        </w:tc>
      </w:tr>
      <w:tr w:rsidR="000C7D28" w14:paraId="66B7C7B2" w14:textId="77777777" w:rsidTr="005A7D82">
        <w:tc>
          <w:tcPr>
            <w:tcW w:w="1255" w:type="dxa"/>
            <w:vMerge/>
          </w:tcPr>
          <w:p w14:paraId="08ACB011" w14:textId="77777777" w:rsidR="000C7D28" w:rsidRDefault="000C7D28" w:rsidP="005A7D82">
            <w:pPr>
              <w:jc w:val="center"/>
            </w:pPr>
          </w:p>
        </w:tc>
        <w:tc>
          <w:tcPr>
            <w:tcW w:w="1530" w:type="dxa"/>
            <w:shd w:val="clear" w:color="auto" w:fill="002060"/>
          </w:tcPr>
          <w:p w14:paraId="63EB39FD" w14:textId="77777777" w:rsidR="000C7D28" w:rsidRDefault="000C7D28" w:rsidP="005A7D82">
            <w:pPr>
              <w:jc w:val="center"/>
            </w:pPr>
            <w:r>
              <w:t>No disabling</w:t>
            </w:r>
          </w:p>
        </w:tc>
        <w:tc>
          <w:tcPr>
            <w:tcW w:w="3870" w:type="dxa"/>
            <w:shd w:val="clear" w:color="auto" w:fill="002060"/>
          </w:tcPr>
          <w:p w14:paraId="521C997E" w14:textId="77777777" w:rsidR="000C7D28" w:rsidRPr="003B1BE5" w:rsidRDefault="003404DE" w:rsidP="005A7D82">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NPDCCH</m:t>
                    </m:r>
                  </m:sub>
                </m:sSub>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NPDSCH</m:t>
                    </m:r>
                  </m:sub>
                </m:sSub>
                <m:r>
                  <w:rPr>
                    <w:rFonts w:ascii="Cambria Math" w:hAnsi="Cambria Math"/>
                  </w:rPr>
                  <m:t>+</m:t>
                </m:r>
              </m:oMath>
            </m:oMathPara>
          </w:p>
          <w:p w14:paraId="2E3956E8" w14:textId="77777777" w:rsidR="000C7D28" w:rsidRPr="00E2225D" w:rsidRDefault="003404DE" w:rsidP="005A7D82">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 xml:space="preserve"> +RTD</m:t>
                </m:r>
              </m:oMath>
            </m:oMathPara>
          </w:p>
          <w:p w14:paraId="68C7DDD7" w14:textId="77777777" w:rsidR="000C7D28" w:rsidRDefault="000C7D28" w:rsidP="005A7D82">
            <w:pPr>
              <w:jc w:val="center"/>
            </w:pPr>
            <m:oMathPara>
              <m:oMath>
                <m:r>
                  <w:rPr>
                    <w:rFonts w:ascii="Cambria Math" w:hAnsi="Cambria Math"/>
                  </w:rPr>
                  <m:t>=</m:t>
                </m:r>
                <m:d>
                  <m:dPr>
                    <m:ctrlPr>
                      <w:rPr>
                        <w:rFonts w:ascii="Cambria Math" w:hAnsi="Cambria Math"/>
                        <w:i/>
                      </w:rPr>
                    </m:ctrlPr>
                  </m:dPr>
                  <m:e>
                    <m:r>
                      <w:rPr>
                        <w:rFonts w:ascii="Cambria Math" w:hAnsi="Cambria Math"/>
                      </w:rPr>
                      <m:t>608.46+</m:t>
                    </m:r>
                    <m:sSub>
                      <m:sSubPr>
                        <m:ctrlPr>
                          <w:rPr>
                            <w:rFonts w:ascii="Cambria Math" w:hAnsi="Cambria Math"/>
                            <w:i/>
                          </w:rPr>
                        </m:ctrlPr>
                      </m:sSubPr>
                      <m:e>
                        <m:r>
                          <w:rPr>
                            <w:rFonts w:ascii="Cambria Math" w:hAnsi="Cambria Math"/>
                          </w:rPr>
                          <m:t>T</m:t>
                        </m:r>
                      </m:e>
                      <m:sub>
                        <m:r>
                          <w:rPr>
                            <w:rFonts w:ascii="Cambria Math" w:hAnsi="Cambria Math"/>
                          </w:rPr>
                          <m:t>ACK</m:t>
                        </m:r>
                      </m:sub>
                    </m:sSub>
                  </m:e>
                </m:d>
                <m:r>
                  <w:rPr>
                    <w:rFonts w:ascii="Cambria Math" w:hAnsi="Cambria Math"/>
                  </w:rPr>
                  <m:t xml:space="preserve"> ms</m:t>
                </m:r>
              </m:oMath>
            </m:oMathPara>
          </w:p>
        </w:tc>
        <w:tc>
          <w:tcPr>
            <w:tcW w:w="2974" w:type="dxa"/>
            <w:shd w:val="clear" w:color="auto" w:fill="002060"/>
          </w:tcPr>
          <w:p w14:paraId="56967FF5" w14:textId="77777777" w:rsidR="000C7D28" w:rsidRDefault="003404DE" w:rsidP="005A7D82">
            <w:pPr>
              <w:jc w:val="center"/>
            </w:pPr>
            <m:oMathPara>
              <m:oMath>
                <m:f>
                  <m:fPr>
                    <m:ctrlPr>
                      <w:rPr>
                        <w:rFonts w:ascii="Cambria Math" w:hAnsi="Cambria Math"/>
                        <w:i/>
                      </w:rPr>
                    </m:ctrlPr>
                  </m:fPr>
                  <m:num>
                    <m:r>
                      <w:rPr>
                        <w:rFonts w:ascii="Cambria Math" w:hAnsi="Cambria Math"/>
                      </w:rPr>
                      <m:t>608.46+</m:t>
                    </m:r>
                    <m:sSub>
                      <m:sSubPr>
                        <m:ctrlPr>
                          <w:rPr>
                            <w:rFonts w:ascii="Cambria Math" w:hAnsi="Cambria Math"/>
                            <w:i/>
                          </w:rPr>
                        </m:ctrlPr>
                      </m:sSubPr>
                      <m:e>
                        <m:r>
                          <w:rPr>
                            <w:rFonts w:ascii="Cambria Math" w:hAnsi="Cambria Math"/>
                          </w:rPr>
                          <m:t>T</m:t>
                        </m:r>
                      </m:e>
                      <m:sub>
                        <m:r>
                          <w:rPr>
                            <w:rFonts w:ascii="Cambria Math" w:hAnsi="Cambria Math"/>
                          </w:rPr>
                          <m:t>ACK</m:t>
                        </m:r>
                      </m:sub>
                    </m:sSub>
                  </m:num>
                  <m:den>
                    <m:r>
                      <w:rPr>
                        <w:rFonts w:ascii="Cambria Math" w:hAnsi="Cambria Math"/>
                      </w:rPr>
                      <m:t>110</m:t>
                    </m:r>
                  </m:den>
                </m:f>
                <m:r>
                  <m:rPr>
                    <m:sty m:val="bi"/>
                  </m:rPr>
                  <w:rPr>
                    <w:rFonts w:ascii="Cambria Math" w:hAnsi="Cambria Math"/>
                  </w:rPr>
                  <m:t>&gt;5.53</m:t>
                </m:r>
                <m:r>
                  <m:rPr>
                    <m:sty m:val="bi"/>
                  </m:rPr>
                  <w:rPr>
                    <w:rFonts w:ascii="Cambria Math" w:hAnsi="Cambria Math"/>
                  </w:rPr>
                  <m:t>x</m:t>
                </m:r>
              </m:oMath>
            </m:oMathPara>
          </w:p>
        </w:tc>
      </w:tr>
    </w:tbl>
    <w:p w14:paraId="52ADAF7A" w14:textId="77777777" w:rsidR="007223A0" w:rsidRDefault="007223A0" w:rsidP="000C7D28">
      <w:pPr>
        <w:rPr>
          <w:b/>
          <w:bCs/>
          <w:i/>
          <w:iCs/>
          <w:color w:val="FF0000"/>
          <w:u w:val="single"/>
        </w:rPr>
      </w:pPr>
    </w:p>
    <w:p w14:paraId="3374F4DF" w14:textId="5D332024" w:rsidR="000C7D28" w:rsidRPr="00892794" w:rsidRDefault="000C7D28" w:rsidP="000C7D28">
      <w:pPr>
        <w:rPr>
          <w:b/>
          <w:bCs/>
        </w:rPr>
      </w:pPr>
      <w:r w:rsidRPr="00892794">
        <w:rPr>
          <w:b/>
          <w:bCs/>
          <w:i/>
          <w:iCs/>
          <w:u w:val="single"/>
        </w:rPr>
        <w:t>Observation</w:t>
      </w:r>
      <w:r w:rsidR="00077A25">
        <w:rPr>
          <w:b/>
          <w:bCs/>
          <w:i/>
          <w:iCs/>
          <w:u w:val="single"/>
        </w:rPr>
        <w:t xml:space="preserve"> 1</w:t>
      </w:r>
      <w:r w:rsidRPr="00892794">
        <w:rPr>
          <w:b/>
          <w:bCs/>
        </w:rPr>
        <w:t xml:space="preserve">: For GEO Set 1 deployments, </w:t>
      </w:r>
      <w:r w:rsidR="00B67E56" w:rsidRPr="00892794">
        <w:rPr>
          <w:b/>
          <w:bCs/>
        </w:rPr>
        <w:t xml:space="preserve">lack of </w:t>
      </w:r>
      <w:r w:rsidRPr="00892794">
        <w:rPr>
          <w:b/>
          <w:bCs/>
        </w:rPr>
        <w:t>feedback disabled HARQ process(es) results in a throughput/latency penalty of &gt; 11x for UEs with one HARQ process and &gt; 5.5x for UEs with two HARQ processes.</w:t>
      </w:r>
    </w:p>
    <w:p w14:paraId="3C346FC6" w14:textId="733B7E5B" w:rsidR="005A4768" w:rsidRPr="00892794" w:rsidRDefault="005A4768" w:rsidP="000C7D28">
      <w:pPr>
        <w:rPr>
          <w:b/>
          <w:bCs/>
        </w:rPr>
      </w:pPr>
      <w:r w:rsidRPr="00892794">
        <w:rPr>
          <w:b/>
          <w:bCs/>
          <w:i/>
          <w:iCs/>
          <w:u w:val="single"/>
        </w:rPr>
        <w:t>Proposal</w:t>
      </w:r>
      <w:r w:rsidR="00077A25">
        <w:rPr>
          <w:b/>
          <w:bCs/>
          <w:i/>
          <w:iCs/>
          <w:u w:val="single"/>
        </w:rPr>
        <w:t xml:space="preserve"> 1</w:t>
      </w:r>
      <w:r w:rsidRPr="00892794">
        <w:rPr>
          <w:b/>
          <w:bCs/>
        </w:rPr>
        <w:t xml:space="preserve">: Specify feedback-disabled HARQ processes for </w:t>
      </w:r>
      <w:proofErr w:type="spellStart"/>
      <w:r w:rsidRPr="00892794">
        <w:rPr>
          <w:b/>
          <w:bCs/>
        </w:rPr>
        <w:t>eMTC</w:t>
      </w:r>
      <w:proofErr w:type="spellEnd"/>
      <w:r w:rsidRPr="00892794">
        <w:rPr>
          <w:b/>
          <w:bCs/>
        </w:rPr>
        <w:t xml:space="preserve"> and NB-IoT over NTN</w:t>
      </w:r>
    </w:p>
    <w:p w14:paraId="28E2D67F" w14:textId="3B4F9A96" w:rsidR="000C7D28" w:rsidRDefault="00434D8F" w:rsidP="000C7D28">
      <w:r>
        <w:t xml:space="preserve">Further, for NB-IoT, </w:t>
      </w:r>
      <w:r w:rsidR="00A57084">
        <w:t xml:space="preserve">currently </w:t>
      </w:r>
      <w:r w:rsidR="00CD0254">
        <w:t xml:space="preserve">there are only a maximum of 2 HARQ processes available. Keeping in mind that certain types of </w:t>
      </w:r>
      <w:r w:rsidR="00966AA7">
        <w:t>transmissions (e.g., MAC-CEs) will always need to have HARQ feedback enabled</w:t>
      </w:r>
      <w:r w:rsidR="00E709BE">
        <w:t>, we propose to increase the number of HARQ processes for NB-IoT over NTN to four (from two)</w:t>
      </w:r>
      <w:r w:rsidR="00F37DA0">
        <w:t>, to provide scheduling flexibility to the base-station so that HARQ stalling can be avoided</w:t>
      </w:r>
      <w:r w:rsidR="00E709BE">
        <w:t xml:space="preserve">, with the constraint that </w:t>
      </w:r>
      <w:r w:rsidR="008233E0">
        <w:t xml:space="preserve">only up to two HARQ processes can have HARQ feedback enabled. This way, the soft-buffer requirements for NB-IoT UEs </w:t>
      </w:r>
      <w:r w:rsidR="001869C5">
        <w:t>will not be</w:t>
      </w:r>
      <w:r w:rsidR="008233E0">
        <w:t xml:space="preserve"> impacted</w:t>
      </w:r>
      <w:r w:rsidR="00F75165">
        <w:t>.</w:t>
      </w:r>
    </w:p>
    <w:p w14:paraId="1E4F9D3D" w14:textId="65B66FE3" w:rsidR="000D334F" w:rsidRPr="00892794" w:rsidRDefault="000C7D28" w:rsidP="000D334F">
      <w:pPr>
        <w:rPr>
          <w:b/>
          <w:bCs/>
        </w:rPr>
      </w:pPr>
      <w:r w:rsidRPr="00892794">
        <w:rPr>
          <w:b/>
          <w:bCs/>
          <w:i/>
          <w:iCs/>
          <w:u w:val="single"/>
        </w:rPr>
        <w:t>Proposal</w:t>
      </w:r>
      <w:r w:rsidR="00077A25">
        <w:rPr>
          <w:b/>
          <w:bCs/>
          <w:i/>
          <w:iCs/>
          <w:u w:val="single"/>
        </w:rPr>
        <w:t xml:space="preserve"> 2</w:t>
      </w:r>
      <w:r w:rsidRPr="00892794">
        <w:rPr>
          <w:b/>
          <w:bCs/>
        </w:rPr>
        <w:t xml:space="preserve">: RAN1 to support </w:t>
      </w:r>
      <w:r w:rsidR="00990202" w:rsidRPr="00892794">
        <w:rPr>
          <w:b/>
          <w:bCs/>
        </w:rPr>
        <w:t>two additional</w:t>
      </w:r>
      <w:r w:rsidRPr="00892794">
        <w:rPr>
          <w:b/>
          <w:bCs/>
        </w:rPr>
        <w:t xml:space="preserve"> feedback-disabled HARQ process for NB-IoT over NTN</w:t>
      </w:r>
      <w:r w:rsidR="000D334F" w:rsidRPr="00892794">
        <w:rPr>
          <w:b/>
          <w:bCs/>
        </w:rPr>
        <w:t xml:space="preserve">, resulting in a total of </w:t>
      </w:r>
      <w:r w:rsidR="001A5B60">
        <w:rPr>
          <w:b/>
          <w:bCs/>
        </w:rPr>
        <w:t xml:space="preserve">up to </w:t>
      </w:r>
      <w:r w:rsidR="000D334F" w:rsidRPr="00892794">
        <w:rPr>
          <w:b/>
          <w:bCs/>
        </w:rPr>
        <w:t>four HARQ processes.</w:t>
      </w:r>
    </w:p>
    <w:p w14:paraId="19191589" w14:textId="0E93CFA2" w:rsidR="00DF3116" w:rsidRDefault="00F75165" w:rsidP="00085CDB">
      <w:pPr>
        <w:pStyle w:val="ListParagraph"/>
        <w:numPr>
          <w:ilvl w:val="0"/>
          <w:numId w:val="36"/>
        </w:numPr>
        <w:rPr>
          <w:b/>
          <w:bCs/>
        </w:rPr>
      </w:pPr>
      <w:r w:rsidRPr="00892794">
        <w:rPr>
          <w:b/>
          <w:bCs/>
        </w:rPr>
        <w:t>At most two out of these four HARQ processes will have HARQ feedback enabled, and the soft-buffer storage requirements for NB-IoT UEs will not be impacted.</w:t>
      </w:r>
    </w:p>
    <w:p w14:paraId="31A62D99" w14:textId="59F367C1" w:rsidR="00DE7D34" w:rsidRPr="00E70722" w:rsidRDefault="00DE7D34" w:rsidP="00DE7D34">
      <w:pPr>
        <w:pStyle w:val="Heading1"/>
        <w:numPr>
          <w:ilvl w:val="0"/>
          <w:numId w:val="1"/>
        </w:numPr>
        <w:tabs>
          <w:tab w:val="num" w:pos="720"/>
        </w:tabs>
        <w:ind w:left="720" w:hanging="720"/>
        <w:jc w:val="both"/>
      </w:pPr>
      <w:r>
        <w:t xml:space="preserve">Minimum gap between </w:t>
      </w:r>
      <w:r w:rsidR="00B77B46">
        <w:t>transmissions</w:t>
      </w:r>
    </w:p>
    <w:p w14:paraId="01DE000B" w14:textId="77777777" w:rsidR="00391566" w:rsidRDefault="00A13636" w:rsidP="00DE7D34">
      <w:r w:rsidRPr="000E6042">
        <w:t xml:space="preserve">For </w:t>
      </w:r>
      <w:proofErr w:type="spellStart"/>
      <w:r w:rsidRPr="000E6042">
        <w:t>eMTC</w:t>
      </w:r>
      <w:proofErr w:type="spellEnd"/>
      <w:r w:rsidRPr="000E6042">
        <w:t xml:space="preserve"> over NTN,</w:t>
      </w:r>
      <w:r w:rsidR="00205ED3" w:rsidRPr="000E6042">
        <w:t xml:space="preserve"> analogous to the parameter ‘</w:t>
      </w:r>
      <w:proofErr w:type="spellStart"/>
      <w:r w:rsidR="00205ED3" w:rsidRPr="000E6042">
        <w:t>T_proc</w:t>
      </w:r>
      <w:proofErr w:type="spellEnd"/>
      <w:r w:rsidR="00205ED3" w:rsidRPr="000E6042">
        <w:t>’ for NR over NTN</w:t>
      </w:r>
      <w:r w:rsidR="00087564" w:rsidRPr="000E6042">
        <w:t xml:space="preserve">, there needs to be a minimum time gap between successive </w:t>
      </w:r>
      <w:r w:rsidR="00A56C17">
        <w:t xml:space="preserve">PDSCH </w:t>
      </w:r>
      <w:r w:rsidR="00087564" w:rsidRPr="000E6042">
        <w:t xml:space="preserve">transmissions </w:t>
      </w:r>
      <w:r w:rsidR="00A56C17">
        <w:t>over</w:t>
      </w:r>
      <w:r w:rsidR="00087564" w:rsidRPr="000E6042">
        <w:t xml:space="preserve"> the same feedback disabled HARQ process. For NB-IoT, a </w:t>
      </w:r>
      <w:r w:rsidR="00E5095E" w:rsidRPr="000E6042">
        <w:t>12-millisecond</w:t>
      </w:r>
      <w:r w:rsidR="00087564" w:rsidRPr="000E6042">
        <w:t xml:space="preserve"> gap for this purpose is already captured in the specifications</w:t>
      </w:r>
      <w:r w:rsidR="00E5095E" w:rsidRPr="000E6042">
        <w:t xml:space="preserve">, presumably in the context of feedback-less SC-PTM communications. </w:t>
      </w:r>
    </w:p>
    <w:p w14:paraId="57913FE9" w14:textId="57999BE8" w:rsidR="00DE7D34" w:rsidRPr="000E6042" w:rsidRDefault="00391566" w:rsidP="00DE7D34">
      <w:r>
        <w:t xml:space="preserve">Per usual </w:t>
      </w:r>
      <w:proofErr w:type="spellStart"/>
      <w:r>
        <w:t>eMTC</w:t>
      </w:r>
      <w:proofErr w:type="spellEnd"/>
      <w:r>
        <w:t xml:space="preserve"> processing timelines, w</w:t>
      </w:r>
      <w:r w:rsidR="00E5095E" w:rsidRPr="000E6042">
        <w:t xml:space="preserve">e propose to introduce a </w:t>
      </w:r>
      <w:r w:rsidR="008C32CE" w:rsidRPr="000E6042">
        <w:t xml:space="preserve">gap of 4-milliseconds between successive </w:t>
      </w:r>
      <w:r>
        <w:t xml:space="preserve">PDSCH </w:t>
      </w:r>
      <w:r w:rsidR="008C32CE" w:rsidRPr="000E6042">
        <w:t>transmissions o</w:t>
      </w:r>
      <w:r w:rsidR="00077A25">
        <w:t>ver</w:t>
      </w:r>
      <w:r w:rsidR="008C32CE" w:rsidRPr="000E6042">
        <w:t xml:space="preserve"> the same HARQ process for </w:t>
      </w:r>
      <w:proofErr w:type="spellStart"/>
      <w:r w:rsidR="008C32CE" w:rsidRPr="000E6042">
        <w:t>eMTC</w:t>
      </w:r>
      <w:proofErr w:type="spellEnd"/>
      <w:r w:rsidR="008C32CE" w:rsidRPr="000E6042">
        <w:t xml:space="preserve"> over NTN.</w:t>
      </w:r>
    </w:p>
    <w:p w14:paraId="122CCECA" w14:textId="3B71D1D7" w:rsidR="008C32CE" w:rsidRPr="00DE7D34" w:rsidRDefault="008C32CE" w:rsidP="00DE7D34">
      <w:pPr>
        <w:rPr>
          <w:b/>
          <w:bCs/>
        </w:rPr>
      </w:pPr>
      <w:r w:rsidRPr="000E6042">
        <w:rPr>
          <w:b/>
          <w:bCs/>
          <w:i/>
          <w:iCs/>
          <w:u w:val="single"/>
        </w:rPr>
        <w:t>Proposal</w:t>
      </w:r>
      <w:r w:rsidR="00077A25">
        <w:rPr>
          <w:b/>
          <w:bCs/>
          <w:i/>
          <w:iCs/>
          <w:u w:val="single"/>
        </w:rPr>
        <w:t xml:space="preserve"> 3</w:t>
      </w:r>
      <w:r>
        <w:rPr>
          <w:b/>
          <w:bCs/>
        </w:rPr>
        <w:t xml:space="preserve">: For </w:t>
      </w:r>
      <w:proofErr w:type="spellStart"/>
      <w:r>
        <w:rPr>
          <w:b/>
          <w:bCs/>
        </w:rPr>
        <w:t>eMTC</w:t>
      </w:r>
      <w:proofErr w:type="spellEnd"/>
      <w:r>
        <w:rPr>
          <w:b/>
          <w:bCs/>
        </w:rPr>
        <w:t xml:space="preserve"> over NTN, introduce a </w:t>
      </w:r>
      <w:r w:rsidR="000E6042">
        <w:rPr>
          <w:b/>
          <w:bCs/>
        </w:rPr>
        <w:t>4-millisecond</w:t>
      </w:r>
      <w:r>
        <w:rPr>
          <w:b/>
          <w:bCs/>
        </w:rPr>
        <w:t xml:space="preserve"> </w:t>
      </w:r>
      <w:r w:rsidR="000E6042">
        <w:rPr>
          <w:b/>
          <w:bCs/>
        </w:rPr>
        <w:t>gap between successive PDSCH transmissions o</w:t>
      </w:r>
      <w:r w:rsidR="00077A25">
        <w:rPr>
          <w:b/>
          <w:bCs/>
        </w:rPr>
        <w:t>ver</w:t>
      </w:r>
      <w:r w:rsidR="000E6042">
        <w:rPr>
          <w:b/>
          <w:bCs/>
        </w:rPr>
        <w:t xml:space="preserve"> the same </w:t>
      </w:r>
      <w:r w:rsidR="00077A25">
        <w:rPr>
          <w:b/>
          <w:bCs/>
        </w:rPr>
        <w:t xml:space="preserve">feedback disabled </w:t>
      </w:r>
      <w:r w:rsidR="000E6042">
        <w:rPr>
          <w:b/>
          <w:bCs/>
        </w:rPr>
        <w:t>HARQ process.</w:t>
      </w:r>
    </w:p>
    <w:p w14:paraId="726C2F4F" w14:textId="0BFE381F" w:rsidR="009139F5" w:rsidRPr="00E70722" w:rsidRDefault="009139F5" w:rsidP="009139F5">
      <w:pPr>
        <w:pStyle w:val="Heading1"/>
        <w:numPr>
          <w:ilvl w:val="0"/>
          <w:numId w:val="1"/>
        </w:numPr>
        <w:tabs>
          <w:tab w:val="num" w:pos="720"/>
        </w:tabs>
        <w:ind w:left="720" w:hanging="720"/>
        <w:jc w:val="both"/>
      </w:pPr>
      <w:r>
        <w:lastRenderedPageBreak/>
        <w:t>Impact to Multi-TB scheduling</w:t>
      </w:r>
    </w:p>
    <w:p w14:paraId="15097FEE" w14:textId="1377F42A" w:rsidR="009139F5" w:rsidRPr="00E026DF" w:rsidRDefault="009139F5" w:rsidP="009139F5">
      <w:r w:rsidRPr="00E026DF">
        <w:t xml:space="preserve">Currently, </w:t>
      </w:r>
      <w:r w:rsidR="0068481E" w:rsidRPr="00E026DF">
        <w:t xml:space="preserve">for </w:t>
      </w:r>
      <w:proofErr w:type="spellStart"/>
      <w:r w:rsidR="0068481E" w:rsidRPr="00E026DF">
        <w:t>eMTC</w:t>
      </w:r>
      <w:proofErr w:type="spellEnd"/>
      <w:r w:rsidR="0068481E" w:rsidRPr="00E026DF">
        <w:t xml:space="preserve"> and NB-IoT, multi-TB scheduling assumes that </w:t>
      </w:r>
      <w:r w:rsidR="001A5F61">
        <w:t xml:space="preserve">all </w:t>
      </w:r>
      <w:r w:rsidR="0068481E" w:rsidRPr="00E026DF">
        <w:t xml:space="preserve">the TBs scheduled by a multi-TB DCI </w:t>
      </w:r>
      <w:r w:rsidR="00451FD8" w:rsidRPr="00E026DF">
        <w:t>have HARQ feedback enabled. With the introduction of feedback-less HARQ processes into the mix</w:t>
      </w:r>
      <w:r w:rsidR="00B9482C" w:rsidRPr="00E026DF">
        <w:t xml:space="preserve"> (for NTN), RAN1 would need to revisit certain aspects related to multi-TB scheduling, such as </w:t>
      </w:r>
      <w:r w:rsidR="00AE21A2" w:rsidRPr="00E026DF">
        <w:t xml:space="preserve">how to transmit HARQ feedback for a multi-TB block where </w:t>
      </w:r>
      <w:r w:rsidR="009128EE" w:rsidRPr="00E026DF">
        <w:t>some TBs</w:t>
      </w:r>
      <w:r w:rsidR="00331E5B">
        <w:t xml:space="preserve"> (or TB bundles)</w:t>
      </w:r>
      <w:r w:rsidR="009128EE" w:rsidRPr="00E026DF">
        <w:t xml:space="preserve"> have feedback enabled, while some others have feedback disabled.</w:t>
      </w:r>
    </w:p>
    <w:p w14:paraId="57FA5D75" w14:textId="781C1247" w:rsidR="009128EE" w:rsidRDefault="009128EE" w:rsidP="009139F5">
      <w:pPr>
        <w:rPr>
          <w:b/>
          <w:bCs/>
        </w:rPr>
      </w:pPr>
      <w:r w:rsidRPr="00E026DF">
        <w:rPr>
          <w:b/>
          <w:bCs/>
          <w:i/>
          <w:iCs/>
          <w:u w:val="single"/>
        </w:rPr>
        <w:t>Proposal</w:t>
      </w:r>
      <w:r w:rsidR="00077A25">
        <w:rPr>
          <w:b/>
          <w:bCs/>
          <w:i/>
          <w:iCs/>
          <w:u w:val="single"/>
        </w:rPr>
        <w:t xml:space="preserve"> 4</w:t>
      </w:r>
      <w:r>
        <w:rPr>
          <w:b/>
          <w:bCs/>
        </w:rPr>
        <w:t>: RAN1 to discuss the impact of introducing feedback-less HARQ processes</w:t>
      </w:r>
      <w:r w:rsidR="00E026DF">
        <w:rPr>
          <w:b/>
          <w:bCs/>
        </w:rPr>
        <w:t xml:space="preserve"> on multi-TB scheduling for </w:t>
      </w:r>
      <w:proofErr w:type="spellStart"/>
      <w:r w:rsidR="00E026DF">
        <w:rPr>
          <w:b/>
          <w:bCs/>
        </w:rPr>
        <w:t>eMTC</w:t>
      </w:r>
      <w:proofErr w:type="spellEnd"/>
      <w:r w:rsidR="00E026DF">
        <w:rPr>
          <w:b/>
          <w:bCs/>
        </w:rPr>
        <w:t xml:space="preserve"> and NB-IoT</w:t>
      </w:r>
      <w:r w:rsidR="00D94395">
        <w:rPr>
          <w:b/>
          <w:bCs/>
        </w:rPr>
        <w:t xml:space="preserve"> in the context of</w:t>
      </w:r>
      <w:r w:rsidR="00ED39D5">
        <w:rPr>
          <w:b/>
          <w:bCs/>
        </w:rPr>
        <w:t>:</w:t>
      </w:r>
    </w:p>
    <w:p w14:paraId="155ED759" w14:textId="1EF3D850" w:rsidR="009E5744" w:rsidRDefault="00BD59FF" w:rsidP="009E5744">
      <w:pPr>
        <w:pStyle w:val="ListParagraph"/>
        <w:numPr>
          <w:ilvl w:val="0"/>
          <w:numId w:val="36"/>
        </w:numPr>
        <w:rPr>
          <w:b/>
          <w:bCs/>
        </w:rPr>
      </w:pPr>
      <w:r>
        <w:rPr>
          <w:b/>
          <w:bCs/>
        </w:rPr>
        <w:t>A single DCI scheduling feedback-enabled and feedback-disabled TBs</w:t>
      </w:r>
      <w:r w:rsidR="00D94395">
        <w:rPr>
          <w:b/>
          <w:bCs/>
        </w:rPr>
        <w:t xml:space="preserve"> </w:t>
      </w:r>
      <w:r w:rsidR="003B1145">
        <w:rPr>
          <w:b/>
          <w:bCs/>
        </w:rPr>
        <w:t>at the same time</w:t>
      </w:r>
    </w:p>
    <w:p w14:paraId="4C723CEE" w14:textId="441185FD" w:rsidR="00CE09DC" w:rsidRDefault="00217C09" w:rsidP="009E5744">
      <w:pPr>
        <w:pStyle w:val="ListParagraph"/>
        <w:numPr>
          <w:ilvl w:val="0"/>
          <w:numId w:val="36"/>
        </w:numPr>
        <w:rPr>
          <w:b/>
          <w:bCs/>
        </w:rPr>
      </w:pPr>
      <w:r>
        <w:rPr>
          <w:b/>
          <w:bCs/>
        </w:rPr>
        <w:t xml:space="preserve">HARQ-ACK transmission timeline </w:t>
      </w:r>
      <w:r w:rsidR="00C8102E">
        <w:rPr>
          <w:b/>
          <w:bCs/>
        </w:rPr>
        <w:t xml:space="preserve">when feedback-enabled and feedback-disabled TBs are scheduled by </w:t>
      </w:r>
      <w:r w:rsidR="003B1145">
        <w:rPr>
          <w:b/>
          <w:bCs/>
        </w:rPr>
        <w:t>the same</w:t>
      </w:r>
      <w:r w:rsidR="00C8102E">
        <w:rPr>
          <w:b/>
          <w:bCs/>
        </w:rPr>
        <w:t xml:space="preserve"> DCI</w:t>
      </w:r>
    </w:p>
    <w:p w14:paraId="51CD5D60" w14:textId="574F4C3E" w:rsidR="00540E6C" w:rsidRPr="009E5744" w:rsidRDefault="00540E6C" w:rsidP="009E5744">
      <w:pPr>
        <w:pStyle w:val="ListParagraph"/>
        <w:numPr>
          <w:ilvl w:val="0"/>
          <w:numId w:val="36"/>
        </w:numPr>
        <w:rPr>
          <w:b/>
          <w:bCs/>
        </w:rPr>
      </w:pPr>
      <w:r>
        <w:rPr>
          <w:b/>
          <w:bCs/>
        </w:rPr>
        <w:t>Determination of bundled HARQ ACK feedback when some TBs in a bundle have feedback enabled, while others have feedback disabled</w:t>
      </w:r>
    </w:p>
    <w:p w14:paraId="34BF3887" w14:textId="1D38BBF4" w:rsidR="00CD5147" w:rsidRPr="00E70722" w:rsidRDefault="00CD5147" w:rsidP="00CD5147">
      <w:pPr>
        <w:pStyle w:val="Heading1"/>
        <w:numPr>
          <w:ilvl w:val="0"/>
          <w:numId w:val="1"/>
        </w:numPr>
        <w:tabs>
          <w:tab w:val="num" w:pos="720"/>
        </w:tabs>
        <w:ind w:left="720" w:hanging="720"/>
        <w:jc w:val="both"/>
      </w:pPr>
      <w:r>
        <w:t xml:space="preserve">Options </w:t>
      </w:r>
      <w:r w:rsidR="00B138B2">
        <w:t>for consideration in RAN1#109-e</w:t>
      </w:r>
      <w:r w:rsidR="007A1213">
        <w:t xml:space="preserve"> agreements</w:t>
      </w:r>
    </w:p>
    <w:p w14:paraId="619ECAA8" w14:textId="593B49E1" w:rsidR="00CD5147" w:rsidRDefault="00B138B2" w:rsidP="009139F5">
      <w:r w:rsidRPr="00B138B2">
        <w:t>The first agreement regarding this agenda item in RAN1#109-e is:</w:t>
      </w:r>
    </w:p>
    <w:p w14:paraId="528E29E8" w14:textId="5C0356E0" w:rsidR="00B138B2" w:rsidRPr="00B138B2" w:rsidRDefault="00B138B2" w:rsidP="009139F5">
      <w:pPr>
        <w:rPr>
          <w:rFonts w:cs="Times"/>
          <w:b/>
          <w:bCs/>
        </w:rPr>
      </w:pPr>
      <w:r w:rsidRPr="00D44F1C">
        <w:rPr>
          <w:rFonts w:cs="Times"/>
          <w:b/>
          <w:bCs/>
          <w:highlight w:val="green"/>
          <w:lang w:eastAsia="zh-CN"/>
        </w:rPr>
        <w:t>Agreement</w:t>
      </w:r>
    </w:p>
    <w:p w14:paraId="3D26D4AE" w14:textId="77777777" w:rsidR="00B138B2" w:rsidRPr="00D44F1C" w:rsidRDefault="00B138B2" w:rsidP="00B138B2">
      <w:pPr>
        <w:rPr>
          <w:rFonts w:cs="Times"/>
          <w:lang w:eastAsia="zh-CN"/>
        </w:rPr>
      </w:pPr>
      <w:r w:rsidRPr="00D44F1C">
        <w:rPr>
          <w:rFonts w:cs="Times"/>
          <w:color w:val="000000"/>
          <w:lang w:eastAsia="zh-CN"/>
        </w:rPr>
        <w:t xml:space="preserve">For IoT NTN, to configure/indicate </w:t>
      </w:r>
      <w:r w:rsidRPr="00D44F1C">
        <w:rPr>
          <w:rFonts w:cs="Times"/>
          <w:lang w:eastAsia="zh-CN"/>
        </w:rPr>
        <w:t xml:space="preserve">enabling/disabling on </w:t>
      </w:r>
      <w:r w:rsidRPr="00D44F1C">
        <w:rPr>
          <w:rFonts w:cs="Times"/>
        </w:rPr>
        <w:t xml:space="preserve">HARQ feedback </w:t>
      </w:r>
      <w:r w:rsidRPr="00D44F1C">
        <w:rPr>
          <w:rFonts w:cs="Times"/>
          <w:lang w:eastAsia="zh-CN"/>
        </w:rPr>
        <w:t>for downlink transmission, one or more of the following options can be considered:</w:t>
      </w:r>
    </w:p>
    <w:p w14:paraId="15B9FC11" w14:textId="77777777" w:rsidR="00B138B2" w:rsidRPr="00D44F1C" w:rsidRDefault="00B138B2" w:rsidP="00B138B2">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Option 1: per HARQ process via UE specific RRC signaling</w:t>
      </w:r>
    </w:p>
    <w:p w14:paraId="1B07DE63" w14:textId="77777777" w:rsidR="00B138B2" w:rsidRPr="00D44F1C" w:rsidRDefault="00B138B2" w:rsidP="00B138B2">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Option 2: per HARQ process via SIB signaling</w:t>
      </w:r>
    </w:p>
    <w:p w14:paraId="17EB3703" w14:textId="77777777" w:rsidR="00B138B2" w:rsidRPr="00D44F1C" w:rsidRDefault="00B138B2" w:rsidP="00B138B2">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Option 3: explicitly indicated by DCI (e.g., new field or reusing existing field)</w:t>
      </w:r>
    </w:p>
    <w:p w14:paraId="35AA26A9" w14:textId="77777777" w:rsidR="00B138B2" w:rsidRPr="00D44F1C" w:rsidRDefault="00B138B2" w:rsidP="00B138B2">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Option 4: implicitly determined by existing configured/indicated parameter(s) (e.g., repetition number, TBS)</w:t>
      </w:r>
    </w:p>
    <w:p w14:paraId="5B9A008D" w14:textId="77777777" w:rsidR="00B138B2" w:rsidRPr="00D44F1C" w:rsidRDefault="00B138B2" w:rsidP="00B138B2">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Option 5: per HARQ process via MAC CE</w:t>
      </w:r>
    </w:p>
    <w:p w14:paraId="3E141549" w14:textId="77777777" w:rsidR="00B138B2" w:rsidRPr="00D44F1C" w:rsidRDefault="00B138B2" w:rsidP="00B138B2">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Other options or combinations are not excluded</w:t>
      </w:r>
    </w:p>
    <w:p w14:paraId="23817939" w14:textId="23C475F3" w:rsidR="00B138B2" w:rsidRDefault="00B138B2" w:rsidP="00B138B2">
      <w:pPr>
        <w:rPr>
          <w:rFonts w:cs="Times"/>
          <w:lang w:eastAsia="zh-CN"/>
        </w:rPr>
      </w:pPr>
      <w:r w:rsidRPr="00D44F1C">
        <w:rPr>
          <w:rFonts w:cs="Times"/>
          <w:lang w:eastAsia="zh-CN"/>
        </w:rPr>
        <w:t xml:space="preserve">Note: Option(s) for </w:t>
      </w:r>
      <w:proofErr w:type="spellStart"/>
      <w:r w:rsidRPr="00D44F1C">
        <w:rPr>
          <w:rFonts w:cs="Times"/>
          <w:lang w:eastAsia="zh-CN"/>
        </w:rPr>
        <w:t>eMTC</w:t>
      </w:r>
      <w:proofErr w:type="spellEnd"/>
      <w:r w:rsidRPr="00D44F1C">
        <w:rPr>
          <w:rFonts w:cs="Times"/>
          <w:lang w:eastAsia="zh-CN"/>
        </w:rPr>
        <w:t xml:space="preserve"> and </w:t>
      </w:r>
      <w:proofErr w:type="spellStart"/>
      <w:r w:rsidRPr="00D44F1C">
        <w:rPr>
          <w:rFonts w:cs="Times"/>
          <w:lang w:eastAsia="zh-CN"/>
        </w:rPr>
        <w:t>NBIoT</w:t>
      </w:r>
      <w:proofErr w:type="spellEnd"/>
      <w:r w:rsidRPr="00D44F1C">
        <w:rPr>
          <w:rFonts w:cs="Times"/>
          <w:lang w:eastAsia="zh-CN"/>
        </w:rPr>
        <w:t xml:space="preserve"> can be separately discussed.</w:t>
      </w:r>
    </w:p>
    <w:p w14:paraId="42EDA62C" w14:textId="59896EE3" w:rsidR="00DB6049" w:rsidRDefault="00644B01" w:rsidP="00B138B2">
      <w:pPr>
        <w:rPr>
          <w:rFonts w:cs="Times"/>
          <w:lang w:eastAsia="zh-CN"/>
        </w:rPr>
      </w:pPr>
      <w:r>
        <w:rPr>
          <w:rFonts w:cs="Times"/>
          <w:lang w:eastAsia="zh-CN"/>
        </w:rPr>
        <w:t>Our preliminary view is that Option 1 above should be the default</w:t>
      </w:r>
      <w:r w:rsidR="00E4064F">
        <w:rPr>
          <w:rFonts w:cs="Times"/>
          <w:lang w:eastAsia="zh-CN"/>
        </w:rPr>
        <w:t xml:space="preserve">, </w:t>
      </w:r>
      <w:r>
        <w:rPr>
          <w:rFonts w:cs="Times"/>
          <w:lang w:eastAsia="zh-CN"/>
        </w:rPr>
        <w:t xml:space="preserve">following </w:t>
      </w:r>
      <w:r w:rsidR="00A85B89">
        <w:rPr>
          <w:rFonts w:cs="Times"/>
          <w:lang w:eastAsia="zh-CN"/>
        </w:rPr>
        <w:t>what has been specified in NR</w:t>
      </w:r>
      <w:r w:rsidR="00E4064F">
        <w:rPr>
          <w:rFonts w:cs="Times"/>
          <w:lang w:eastAsia="zh-CN"/>
        </w:rPr>
        <w:t>-</w:t>
      </w:r>
      <w:r w:rsidR="00A85B89">
        <w:rPr>
          <w:rFonts w:cs="Times"/>
          <w:lang w:eastAsia="zh-CN"/>
        </w:rPr>
        <w:t>NTN in Release 17. Other options are not strictly essential, but may be discussed</w:t>
      </w:r>
      <w:r w:rsidR="00022611">
        <w:rPr>
          <w:rFonts w:cs="Times"/>
          <w:lang w:eastAsia="zh-CN"/>
        </w:rPr>
        <w:t>, if time permits.</w:t>
      </w:r>
    </w:p>
    <w:p w14:paraId="58DADE85" w14:textId="47A71CF7" w:rsidR="00022611" w:rsidRPr="00022611" w:rsidRDefault="00022611" w:rsidP="00022611">
      <w:pPr>
        <w:rPr>
          <w:rFonts w:cs="Times"/>
          <w:b/>
          <w:bCs/>
          <w:lang w:eastAsia="zh-CN"/>
        </w:rPr>
      </w:pPr>
      <w:r w:rsidRPr="00022611">
        <w:rPr>
          <w:rFonts w:cs="Times"/>
          <w:b/>
          <w:bCs/>
          <w:i/>
          <w:iCs/>
          <w:u w:val="single"/>
          <w:lang w:eastAsia="zh-CN"/>
        </w:rPr>
        <w:t>Proposal</w:t>
      </w:r>
      <w:r w:rsidR="00447294">
        <w:rPr>
          <w:rFonts w:cs="Times"/>
          <w:b/>
          <w:bCs/>
          <w:i/>
          <w:iCs/>
          <w:u w:val="single"/>
          <w:lang w:eastAsia="zh-CN"/>
        </w:rPr>
        <w:t xml:space="preserve"> 5</w:t>
      </w:r>
      <w:r>
        <w:rPr>
          <w:rFonts w:cs="Times"/>
          <w:lang w:eastAsia="zh-CN"/>
        </w:rPr>
        <w:t xml:space="preserve">: </w:t>
      </w:r>
      <w:r w:rsidRPr="00022611">
        <w:rPr>
          <w:rFonts w:cs="Times"/>
          <w:b/>
          <w:bCs/>
          <w:color w:val="000000"/>
          <w:lang w:eastAsia="zh-CN"/>
        </w:rPr>
        <w:t xml:space="preserve">For IoT NTN, to configure/indicate </w:t>
      </w:r>
      <w:r w:rsidRPr="00022611">
        <w:rPr>
          <w:rFonts w:cs="Times"/>
          <w:b/>
          <w:bCs/>
          <w:lang w:eastAsia="zh-CN"/>
        </w:rPr>
        <w:t xml:space="preserve">enabling/disabling on </w:t>
      </w:r>
      <w:r w:rsidRPr="00022611">
        <w:rPr>
          <w:rFonts w:cs="Times"/>
          <w:b/>
          <w:bCs/>
        </w:rPr>
        <w:t xml:space="preserve">HARQ feedback </w:t>
      </w:r>
      <w:r w:rsidRPr="00022611">
        <w:rPr>
          <w:rFonts w:cs="Times"/>
          <w:b/>
          <w:bCs/>
          <w:lang w:eastAsia="zh-CN"/>
        </w:rPr>
        <w:t xml:space="preserve">for downlink transmission, the following option is considered </w:t>
      </w:r>
      <w:r w:rsidR="00CB721A">
        <w:rPr>
          <w:rFonts w:cs="Times"/>
          <w:b/>
          <w:bCs/>
          <w:lang w:eastAsia="zh-CN"/>
        </w:rPr>
        <w:t xml:space="preserve">as </w:t>
      </w:r>
      <w:r w:rsidRPr="00022611">
        <w:rPr>
          <w:rFonts w:cs="Times"/>
          <w:b/>
          <w:bCs/>
          <w:lang w:eastAsia="zh-CN"/>
        </w:rPr>
        <w:t>the default:</w:t>
      </w:r>
    </w:p>
    <w:p w14:paraId="5F977FFD" w14:textId="77777777" w:rsidR="00022611" w:rsidRPr="00022611" w:rsidRDefault="00022611" w:rsidP="00022611">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022611">
        <w:rPr>
          <w:rFonts w:eastAsia="MS PGothic" w:cs="Times"/>
          <w:b/>
          <w:bCs/>
          <w:lang w:val="en-US" w:eastAsia="ja-JP"/>
        </w:rPr>
        <w:t>Option 1: per HARQ process via UE specific RRC signaling</w:t>
      </w:r>
    </w:p>
    <w:p w14:paraId="16D5863F" w14:textId="5215E76C" w:rsidR="00022611" w:rsidRPr="00D44F1C" w:rsidRDefault="00022611" w:rsidP="00B138B2">
      <w:pPr>
        <w:rPr>
          <w:rFonts w:cs="Times"/>
          <w:lang w:eastAsia="zh-CN"/>
        </w:rPr>
      </w:pPr>
    </w:p>
    <w:p w14:paraId="4065F855" w14:textId="248F38D0" w:rsidR="00B138B2" w:rsidRDefault="00B138B2" w:rsidP="00B138B2">
      <w:r w:rsidRPr="00B138B2">
        <w:t xml:space="preserve">The </w:t>
      </w:r>
      <w:r>
        <w:t>second</w:t>
      </w:r>
      <w:r w:rsidRPr="00B138B2">
        <w:t xml:space="preserve"> agreement regarding this agenda item in RAN1#109-e is:</w:t>
      </w:r>
    </w:p>
    <w:p w14:paraId="6B5F5198" w14:textId="77777777" w:rsidR="007A1213" w:rsidRPr="00D44F1C" w:rsidRDefault="007A1213" w:rsidP="007A1213">
      <w:pPr>
        <w:rPr>
          <w:rFonts w:cs="Times"/>
          <w:b/>
        </w:rPr>
      </w:pPr>
      <w:r w:rsidRPr="00D44F1C">
        <w:rPr>
          <w:rFonts w:cs="Times"/>
          <w:b/>
          <w:color w:val="000000"/>
          <w:highlight w:val="green"/>
          <w:lang w:eastAsia="zh-CN"/>
        </w:rPr>
        <w:t>Agreement</w:t>
      </w:r>
    </w:p>
    <w:p w14:paraId="42CA12B1" w14:textId="77777777" w:rsidR="007A1213" w:rsidRPr="00D44F1C" w:rsidRDefault="007A1213" w:rsidP="007A1213">
      <w:pPr>
        <w:rPr>
          <w:rFonts w:cs="Times"/>
          <w:color w:val="000000"/>
          <w:lang w:eastAsia="zh-CN"/>
        </w:rPr>
      </w:pPr>
      <w:r w:rsidRPr="00D44F1C">
        <w:rPr>
          <w:rFonts w:cs="Times"/>
          <w:color w:val="000000"/>
          <w:lang w:eastAsia="zh-CN"/>
        </w:rPr>
        <w:t>For IoT NTN, further study the potential issues due to enabling/disabling on HARQ feedback for downlink transmission</w:t>
      </w:r>
    </w:p>
    <w:p w14:paraId="5D3BE0B3"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A: SPS PDSCH</w:t>
      </w:r>
    </w:p>
    <w:p w14:paraId="5D28090B"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B: (N)PDSCH/(N)PDCCH scheduling restriction</w:t>
      </w:r>
    </w:p>
    <w:p w14:paraId="63EFD8EA"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C: HARQ feedback for scheduling multiple TB</w:t>
      </w:r>
    </w:p>
    <w:p w14:paraId="036174C2"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 xml:space="preserve">Issue D: HARQ bundling for </w:t>
      </w:r>
      <w:proofErr w:type="spellStart"/>
      <w:r w:rsidRPr="00D44F1C">
        <w:rPr>
          <w:rFonts w:eastAsia="MS PGothic" w:cs="Times"/>
          <w:lang w:val="en-US" w:eastAsia="ja-JP"/>
        </w:rPr>
        <w:t>eMTC</w:t>
      </w:r>
      <w:proofErr w:type="spellEnd"/>
      <w:r w:rsidRPr="00D44F1C">
        <w:rPr>
          <w:rFonts w:eastAsia="MS PGothic" w:cs="Times"/>
          <w:lang w:val="en-US" w:eastAsia="ja-JP"/>
        </w:rPr>
        <w:t xml:space="preserve"> HD-FDD</w:t>
      </w:r>
    </w:p>
    <w:p w14:paraId="4CC8F198"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F: NPRACH capacity</w:t>
      </w:r>
    </w:p>
    <w:p w14:paraId="53E93A1F"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 xml:space="preserve">Issue G: Serving cell/satellite change during data transfer (FFS: for </w:t>
      </w:r>
      <w:proofErr w:type="spellStart"/>
      <w:r w:rsidRPr="00D44F1C">
        <w:rPr>
          <w:rFonts w:eastAsia="MS PGothic" w:cs="Times"/>
          <w:lang w:val="en-US" w:eastAsia="ja-JP"/>
        </w:rPr>
        <w:t>eMTC</w:t>
      </w:r>
      <w:proofErr w:type="spellEnd"/>
      <w:r w:rsidRPr="00D44F1C">
        <w:rPr>
          <w:rFonts w:eastAsia="MS PGothic" w:cs="Times"/>
          <w:lang w:val="en-US" w:eastAsia="ja-JP"/>
        </w:rPr>
        <w:t xml:space="preserve"> and/or NB-IoT)</w:t>
      </w:r>
    </w:p>
    <w:p w14:paraId="3567924D"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Other issues are not excluded</w:t>
      </w:r>
    </w:p>
    <w:p w14:paraId="25834DBE" w14:textId="6F90B0D3" w:rsidR="007A1213" w:rsidRDefault="007A1213" w:rsidP="00B138B2">
      <w:r w:rsidRPr="00D44F1C">
        <w:rPr>
          <w:rFonts w:cs="Times"/>
          <w:lang w:eastAsia="zh-CN"/>
        </w:rPr>
        <w:t xml:space="preserve">Note: The “Issues” in common for </w:t>
      </w:r>
      <w:proofErr w:type="spellStart"/>
      <w:r w:rsidRPr="00D44F1C">
        <w:rPr>
          <w:rFonts w:cs="Times"/>
          <w:lang w:eastAsia="zh-CN"/>
        </w:rPr>
        <w:t>eMTC</w:t>
      </w:r>
      <w:proofErr w:type="spellEnd"/>
      <w:r w:rsidRPr="00D44F1C">
        <w:rPr>
          <w:rFonts w:cs="Times"/>
          <w:lang w:eastAsia="zh-CN"/>
        </w:rPr>
        <w:t xml:space="preserve"> and NB-IoT can be separately discussed.</w:t>
      </w:r>
    </w:p>
    <w:p w14:paraId="28EF5CE1" w14:textId="537A8190" w:rsidR="00B138B2" w:rsidRPr="00B83D02" w:rsidRDefault="001526B8" w:rsidP="009139F5">
      <w:r w:rsidRPr="00B83D02">
        <w:t xml:space="preserve">Our views on these </w:t>
      </w:r>
      <w:r w:rsidR="00B83D02" w:rsidRPr="00B83D02">
        <w:t>issues are listed below</w:t>
      </w:r>
      <w:r w:rsidR="00B83D02">
        <w:t>, in the following proposal</w:t>
      </w:r>
      <w:r w:rsidR="00B83D02" w:rsidRPr="00B83D02">
        <w:t>:</w:t>
      </w:r>
    </w:p>
    <w:p w14:paraId="43573465" w14:textId="66E6AF1E" w:rsidR="00B83D02" w:rsidRPr="00E4188F" w:rsidRDefault="00B83D02" w:rsidP="00B83D02">
      <w:pPr>
        <w:rPr>
          <w:rFonts w:cs="Times"/>
          <w:b/>
          <w:bCs/>
          <w:color w:val="000000"/>
          <w:lang w:eastAsia="zh-CN"/>
        </w:rPr>
      </w:pPr>
      <w:r w:rsidRPr="00E4188F">
        <w:rPr>
          <w:b/>
          <w:bCs/>
          <w:i/>
          <w:iCs/>
          <w:u w:val="single"/>
        </w:rPr>
        <w:t>Proposal</w:t>
      </w:r>
      <w:r w:rsidR="00447294">
        <w:rPr>
          <w:b/>
          <w:bCs/>
          <w:i/>
          <w:iCs/>
          <w:u w:val="single"/>
        </w:rPr>
        <w:t xml:space="preserve"> 6</w:t>
      </w:r>
      <w:r w:rsidRPr="00E4188F">
        <w:rPr>
          <w:b/>
          <w:bCs/>
        </w:rPr>
        <w:t xml:space="preserve">: </w:t>
      </w:r>
      <w:r w:rsidRPr="00E4188F">
        <w:rPr>
          <w:rFonts w:cs="Times"/>
          <w:b/>
          <w:bCs/>
          <w:color w:val="000000"/>
          <w:lang w:eastAsia="zh-CN"/>
        </w:rPr>
        <w:t xml:space="preserve">For IoT NTN, regarding the following potential issues due to enabling/disabling on HARQ feedback for downlink transmission, </w:t>
      </w:r>
      <w:r w:rsidR="00383DDE" w:rsidRPr="00E4188F">
        <w:rPr>
          <w:rFonts w:cs="Times"/>
          <w:b/>
          <w:bCs/>
          <w:color w:val="000000"/>
          <w:lang w:eastAsia="zh-CN"/>
        </w:rPr>
        <w:t xml:space="preserve">the </w:t>
      </w:r>
      <w:r w:rsidR="00383DDE" w:rsidRPr="00E4188F">
        <w:rPr>
          <w:rFonts w:cs="Times"/>
          <w:b/>
          <w:bCs/>
          <w:color w:val="FF0000"/>
          <w:lang w:eastAsia="zh-CN"/>
        </w:rPr>
        <w:t>viewpoints</w:t>
      </w:r>
      <w:r w:rsidR="00383DDE" w:rsidRPr="00E4188F">
        <w:rPr>
          <w:rFonts w:cs="Times"/>
          <w:b/>
          <w:bCs/>
          <w:color w:val="000000"/>
          <w:lang w:eastAsia="zh-CN"/>
        </w:rPr>
        <w:t xml:space="preserve"> </w:t>
      </w:r>
      <w:r w:rsidR="00383DDE" w:rsidRPr="00C65127">
        <w:rPr>
          <w:rFonts w:cs="Times"/>
          <w:b/>
          <w:bCs/>
          <w:color w:val="7030A0"/>
          <w:lang w:eastAsia="zh-CN"/>
        </w:rPr>
        <w:t xml:space="preserve">expressed herein </w:t>
      </w:r>
      <w:r w:rsidR="00383DDE" w:rsidRPr="00E4188F">
        <w:rPr>
          <w:rFonts w:cs="Times"/>
          <w:b/>
          <w:bCs/>
          <w:color w:val="000000"/>
          <w:lang w:eastAsia="zh-CN"/>
        </w:rPr>
        <w:t>are adopted</w:t>
      </w:r>
    </w:p>
    <w:p w14:paraId="0381D7D8" w14:textId="6229B873"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lastRenderedPageBreak/>
        <w:t>Issue A: SPS PDSCH</w:t>
      </w:r>
    </w:p>
    <w:p w14:paraId="75961147"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6FCF6D16" w14:textId="20130CFB" w:rsidR="00383DDE"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 xml:space="preserve">: </w:t>
      </w:r>
      <w:r w:rsidR="009B5762" w:rsidRPr="009B5762">
        <w:rPr>
          <w:rFonts w:eastAsia="MS PGothic" w:cs="Times"/>
          <w:b/>
          <w:bCs/>
          <w:color w:val="7030A0"/>
          <w:lang w:val="en-US" w:eastAsia="ja-JP"/>
        </w:rPr>
        <w:t>NR-NTN solution may be adopted as the baseline.</w:t>
      </w:r>
    </w:p>
    <w:p w14:paraId="4950F51B" w14:textId="77777777" w:rsidR="004566ED" w:rsidRPr="00E4188F" w:rsidRDefault="004566ED" w:rsidP="004566ED">
      <w:pPr>
        <w:pStyle w:val="ListParagraph"/>
        <w:overflowPunct/>
        <w:autoSpaceDE/>
        <w:autoSpaceDN/>
        <w:adjustRightInd/>
        <w:spacing w:after="0"/>
        <w:ind w:left="1639"/>
        <w:contextualSpacing w:val="0"/>
        <w:textAlignment w:val="auto"/>
        <w:rPr>
          <w:rFonts w:eastAsia="MS PGothic" w:cs="Times"/>
          <w:b/>
          <w:bCs/>
          <w:lang w:val="en-US" w:eastAsia="ja-JP"/>
        </w:rPr>
      </w:pPr>
    </w:p>
    <w:p w14:paraId="27422215" w14:textId="1921DA84"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B: (N)PDSCH/(N)PDCCH scheduling restriction</w:t>
      </w:r>
    </w:p>
    <w:p w14:paraId="42C8A809"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60CE0DFE" w14:textId="2394A268" w:rsidR="0021101B" w:rsidRPr="00563C40"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color w:val="7030A0"/>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w:t>
      </w:r>
      <w:r w:rsidR="006F24E7">
        <w:rPr>
          <w:rFonts w:eastAsia="MS PGothic" w:cs="Times"/>
          <w:b/>
          <w:bCs/>
          <w:lang w:val="en-US" w:eastAsia="ja-JP"/>
        </w:rPr>
        <w:t xml:space="preserve"> </w:t>
      </w:r>
      <w:r w:rsidR="006F24E7" w:rsidRPr="00563C40">
        <w:rPr>
          <w:rFonts w:eastAsia="MS PGothic" w:cs="Times"/>
          <w:b/>
          <w:bCs/>
          <w:color w:val="7030A0"/>
          <w:lang w:val="en-US" w:eastAsia="ja-JP"/>
        </w:rPr>
        <w:t xml:space="preserve">For e-MTC, </w:t>
      </w:r>
      <w:r w:rsidR="00FC2D0C" w:rsidRPr="00563C40">
        <w:rPr>
          <w:rFonts w:eastAsia="MS PGothic" w:cs="Times"/>
          <w:b/>
          <w:bCs/>
          <w:color w:val="7030A0"/>
          <w:lang w:val="en-US" w:eastAsia="ja-JP"/>
        </w:rPr>
        <w:t xml:space="preserve">Proposal 3 in Section 3 of this document </w:t>
      </w:r>
      <w:r w:rsidR="0021101B" w:rsidRPr="00563C40">
        <w:rPr>
          <w:rFonts w:eastAsia="MS PGothic" w:cs="Times"/>
          <w:b/>
          <w:bCs/>
          <w:color w:val="7030A0"/>
          <w:lang w:val="en-US" w:eastAsia="ja-JP"/>
        </w:rPr>
        <w:t>(</w:t>
      </w:r>
      <w:r w:rsidR="00C270A6" w:rsidRPr="00563C40">
        <w:rPr>
          <w:rFonts w:eastAsia="MS PGothic" w:cs="Times"/>
          <w:b/>
          <w:bCs/>
          <w:color w:val="7030A0"/>
          <w:lang w:val="en-US" w:eastAsia="ja-JP"/>
        </w:rPr>
        <w:t>like</w:t>
      </w:r>
      <w:r w:rsidR="0021101B" w:rsidRPr="00563C40">
        <w:rPr>
          <w:rFonts w:eastAsia="MS PGothic" w:cs="Times"/>
          <w:b/>
          <w:bCs/>
          <w:color w:val="7030A0"/>
          <w:lang w:val="en-US" w:eastAsia="ja-JP"/>
        </w:rPr>
        <w:t xml:space="preserve"> Proposal 5-1a in R1-2205555)</w:t>
      </w:r>
      <w:r w:rsidR="00C270A6" w:rsidRPr="00563C40">
        <w:rPr>
          <w:rFonts w:eastAsia="MS PGothic" w:cs="Times"/>
          <w:b/>
          <w:bCs/>
          <w:color w:val="7030A0"/>
          <w:lang w:val="en-US" w:eastAsia="ja-JP"/>
        </w:rPr>
        <w:t xml:space="preserve"> </w:t>
      </w:r>
      <w:r w:rsidR="00FC2D0C" w:rsidRPr="00563C40">
        <w:rPr>
          <w:rFonts w:eastAsia="MS PGothic" w:cs="Times"/>
          <w:b/>
          <w:bCs/>
          <w:color w:val="7030A0"/>
          <w:lang w:val="en-US" w:eastAsia="ja-JP"/>
        </w:rPr>
        <w:t>should be adopted.</w:t>
      </w:r>
      <w:r w:rsidR="00F976DC" w:rsidRPr="00563C40">
        <w:rPr>
          <w:rFonts w:eastAsia="MS PGothic" w:cs="Times"/>
          <w:b/>
          <w:bCs/>
          <w:color w:val="7030A0"/>
          <w:lang w:val="en-US" w:eastAsia="ja-JP"/>
        </w:rPr>
        <w:t xml:space="preserve"> </w:t>
      </w:r>
    </w:p>
    <w:p w14:paraId="634C0D62" w14:textId="77777777" w:rsidR="00C270A6" w:rsidRPr="00563C40" w:rsidRDefault="00C270A6" w:rsidP="00C270A6">
      <w:pPr>
        <w:pStyle w:val="ListParagraph"/>
        <w:overflowPunct/>
        <w:autoSpaceDE/>
        <w:autoSpaceDN/>
        <w:adjustRightInd/>
        <w:spacing w:after="0"/>
        <w:ind w:left="1639"/>
        <w:contextualSpacing w:val="0"/>
        <w:textAlignment w:val="auto"/>
        <w:rPr>
          <w:rFonts w:eastAsia="MS PGothic" w:cs="Times"/>
          <w:b/>
          <w:bCs/>
          <w:color w:val="7030A0"/>
          <w:lang w:val="en-US" w:eastAsia="ja-JP"/>
        </w:rPr>
      </w:pPr>
    </w:p>
    <w:p w14:paraId="16A16027" w14:textId="41A19441" w:rsidR="00383DDE" w:rsidRPr="00563C40" w:rsidRDefault="00F976DC" w:rsidP="00C270A6">
      <w:pPr>
        <w:pStyle w:val="ListParagraph"/>
        <w:overflowPunct/>
        <w:autoSpaceDE/>
        <w:autoSpaceDN/>
        <w:adjustRightInd/>
        <w:spacing w:after="0"/>
        <w:ind w:left="1639"/>
        <w:contextualSpacing w:val="0"/>
        <w:textAlignment w:val="auto"/>
        <w:rPr>
          <w:rFonts w:eastAsia="MS PGothic" w:cs="Times"/>
          <w:b/>
          <w:bCs/>
          <w:color w:val="7030A0"/>
          <w:lang w:val="en-US" w:eastAsia="ja-JP"/>
        </w:rPr>
      </w:pPr>
      <w:r w:rsidRPr="00563C40">
        <w:rPr>
          <w:rFonts w:eastAsia="MS PGothic" w:cs="Times"/>
          <w:b/>
          <w:bCs/>
          <w:color w:val="7030A0"/>
          <w:lang w:val="en-US" w:eastAsia="ja-JP"/>
        </w:rPr>
        <w:t>For NB-IoT</w:t>
      </w:r>
      <w:r w:rsidR="00C270A6" w:rsidRPr="00563C40">
        <w:rPr>
          <w:rFonts w:eastAsia="MS PGothic" w:cs="Times"/>
          <w:b/>
          <w:bCs/>
          <w:color w:val="7030A0"/>
          <w:lang w:val="en-US" w:eastAsia="ja-JP"/>
        </w:rPr>
        <w:t xml:space="preserve">, </w:t>
      </w:r>
      <w:r w:rsidR="00E93BA7" w:rsidRPr="00563C40">
        <w:rPr>
          <w:rFonts w:eastAsia="MS PGothic" w:cs="Times"/>
          <w:b/>
          <w:bCs/>
          <w:color w:val="7030A0"/>
          <w:highlight w:val="green"/>
          <w:lang w:val="en-US" w:eastAsia="ja-JP"/>
        </w:rPr>
        <w:t>legacy specifications</w:t>
      </w:r>
      <w:r w:rsidR="00E93BA7" w:rsidRPr="00563C40">
        <w:rPr>
          <w:rFonts w:eastAsia="MS PGothic" w:cs="Times"/>
          <w:b/>
          <w:bCs/>
          <w:color w:val="7030A0"/>
          <w:lang w:val="en-US" w:eastAsia="ja-JP"/>
        </w:rPr>
        <w:t xml:space="preserve"> (</w:t>
      </w:r>
      <w:r w:rsidR="00F0385A" w:rsidRPr="00563C40">
        <w:rPr>
          <w:rFonts w:eastAsia="MS PGothic" w:cs="Times"/>
          <w:b/>
          <w:bCs/>
          <w:color w:val="7030A0"/>
          <w:lang w:val="en-US" w:eastAsia="ja-JP"/>
        </w:rPr>
        <w:t>Section 16.6 of TS 36.213</w:t>
      </w:r>
      <w:r w:rsidR="00563C40" w:rsidRPr="00563C40">
        <w:rPr>
          <w:rFonts w:eastAsia="MS PGothic" w:cs="Times"/>
          <w:b/>
          <w:bCs/>
          <w:color w:val="7030A0"/>
          <w:lang w:val="en-US" w:eastAsia="ja-JP"/>
        </w:rPr>
        <w:t>, quoted below</w:t>
      </w:r>
      <w:r w:rsidR="00E93BA7" w:rsidRPr="00563C40">
        <w:rPr>
          <w:rFonts w:eastAsia="MS PGothic" w:cs="Times"/>
          <w:b/>
          <w:bCs/>
          <w:color w:val="7030A0"/>
          <w:lang w:val="en-US" w:eastAsia="ja-JP"/>
        </w:rPr>
        <w:t>)</w:t>
      </w:r>
      <w:r w:rsidR="00F0385A" w:rsidRPr="00563C40">
        <w:rPr>
          <w:rFonts w:eastAsia="MS PGothic" w:cs="Times"/>
          <w:b/>
          <w:bCs/>
          <w:color w:val="7030A0"/>
          <w:lang w:val="en-US" w:eastAsia="ja-JP"/>
        </w:rPr>
        <w:t xml:space="preserve"> should be followed (</w:t>
      </w:r>
      <w:r w:rsidR="00A54EB2" w:rsidRPr="00563C40">
        <w:rPr>
          <w:rFonts w:eastAsia="MS PGothic" w:cs="Times"/>
          <w:b/>
          <w:bCs/>
          <w:color w:val="7030A0"/>
          <w:lang w:val="en-US" w:eastAsia="ja-JP"/>
        </w:rPr>
        <w:t>like</w:t>
      </w:r>
      <w:r w:rsidR="00F0385A" w:rsidRPr="00563C40">
        <w:rPr>
          <w:rFonts w:eastAsia="MS PGothic" w:cs="Times"/>
          <w:b/>
          <w:bCs/>
          <w:color w:val="7030A0"/>
          <w:lang w:val="en-US" w:eastAsia="ja-JP"/>
        </w:rPr>
        <w:t xml:space="preserve"> Option 2 in Proposal 5-</w:t>
      </w:r>
      <w:r w:rsidR="003267A3" w:rsidRPr="00563C40">
        <w:rPr>
          <w:rFonts w:eastAsia="MS PGothic" w:cs="Times"/>
          <w:b/>
          <w:bCs/>
          <w:color w:val="7030A0"/>
          <w:lang w:val="en-US" w:eastAsia="ja-JP"/>
        </w:rPr>
        <w:t>2</w:t>
      </w:r>
      <w:r w:rsidR="00A54EB2" w:rsidRPr="00563C40">
        <w:rPr>
          <w:rFonts w:eastAsia="MS PGothic" w:cs="Times"/>
          <w:b/>
          <w:bCs/>
          <w:color w:val="7030A0"/>
          <w:lang w:val="en-US" w:eastAsia="ja-JP"/>
        </w:rPr>
        <w:t>a in R1-2205555</w:t>
      </w:r>
      <w:r w:rsidR="00F0385A" w:rsidRPr="00563C40">
        <w:rPr>
          <w:rFonts w:eastAsia="MS PGothic" w:cs="Times"/>
          <w:b/>
          <w:bCs/>
          <w:color w:val="7030A0"/>
          <w:lang w:val="en-US" w:eastAsia="ja-JP"/>
        </w:rPr>
        <w:t>)</w:t>
      </w:r>
      <w:r w:rsidR="00A54EB2" w:rsidRPr="00563C40">
        <w:rPr>
          <w:rFonts w:eastAsia="MS PGothic" w:cs="Times"/>
          <w:b/>
          <w:bCs/>
          <w:color w:val="7030A0"/>
          <w:lang w:val="en-US" w:eastAsia="ja-JP"/>
        </w:rPr>
        <w:t>:</w:t>
      </w:r>
    </w:p>
    <w:p w14:paraId="592775CE" w14:textId="77777777" w:rsidR="00563C40" w:rsidRDefault="00563C40" w:rsidP="00C270A6">
      <w:pPr>
        <w:pStyle w:val="ListParagraph"/>
        <w:overflowPunct/>
        <w:autoSpaceDE/>
        <w:autoSpaceDN/>
        <w:adjustRightInd/>
        <w:spacing w:after="0"/>
        <w:ind w:left="1639"/>
        <w:contextualSpacing w:val="0"/>
        <w:textAlignment w:val="auto"/>
        <w:rPr>
          <w:rFonts w:eastAsia="MS PGothic" w:cs="Times"/>
          <w:b/>
          <w:bCs/>
          <w:lang w:val="en-US" w:eastAsia="ja-JP"/>
        </w:rPr>
      </w:pPr>
    </w:p>
    <w:p w14:paraId="26699793" w14:textId="096BBF89" w:rsidR="00A54EB2" w:rsidRPr="009F4C05" w:rsidRDefault="00A54EB2" w:rsidP="00563C40">
      <w:pPr>
        <w:ind w:left="2160"/>
      </w:pPr>
      <w:r>
        <w:rPr>
          <w:rFonts w:eastAsia="MS PGothic" w:cs="Times"/>
          <w:b/>
          <w:bCs/>
          <w:lang w:val="en-US" w:eastAsia="ja-JP"/>
        </w:rPr>
        <w:t>“</w:t>
      </w:r>
      <w:r w:rsidR="009F4C05" w:rsidRPr="00563C40">
        <w:rPr>
          <w:i/>
          <w:iCs/>
        </w:rPr>
        <w:t>If a NB-IoT UE receives a NPDSCH transmission ending in subframe n,</w:t>
      </w:r>
      <w:r w:rsidR="009F4C05" w:rsidRPr="00563C40">
        <w:rPr>
          <w:i/>
          <w:iCs/>
          <w:u w:val="single"/>
        </w:rPr>
        <w:t xml:space="preserve"> </w:t>
      </w:r>
      <w:r w:rsidR="009F4C05" w:rsidRPr="00563C40">
        <w:rPr>
          <w:i/>
          <w:iCs/>
        </w:rPr>
        <w:t xml:space="preserve">and </w:t>
      </w:r>
      <w:r w:rsidR="009F4C05" w:rsidRPr="00C94B2D">
        <w:rPr>
          <w:i/>
          <w:iCs/>
          <w:highlight w:val="green"/>
        </w:rPr>
        <w:t>if the UE is not required to transmit a corresponding NPUSCH format 2</w:t>
      </w:r>
      <w:r w:rsidR="009F4C05" w:rsidRPr="00563C40">
        <w:rPr>
          <w:i/>
          <w:iCs/>
        </w:rPr>
        <w:t xml:space="preserve">, </w:t>
      </w:r>
      <w:r w:rsidR="009F4C05" w:rsidRPr="00563C40">
        <w:rPr>
          <w:i/>
          <w:iCs/>
          <w:highlight w:val="green"/>
        </w:rPr>
        <w:t>the UE is not required to monitor NPDCCH in any subframe starting from subframe n+1 to subframe n+12</w:t>
      </w:r>
      <w:r w:rsidR="009F4C05" w:rsidRPr="00563C40">
        <w:rPr>
          <w:i/>
          <w:iCs/>
        </w:rPr>
        <w:t>.</w:t>
      </w:r>
      <w:r w:rsidRPr="00563C40">
        <w:rPr>
          <w:rFonts w:eastAsia="MS PGothic" w:cs="Times"/>
          <w:b/>
          <w:bCs/>
          <w:i/>
          <w:iCs/>
          <w:lang w:val="en-US" w:eastAsia="ja-JP"/>
        </w:rPr>
        <w:t>”</w:t>
      </w:r>
    </w:p>
    <w:p w14:paraId="15C61CCE" w14:textId="77777777" w:rsidR="004566ED" w:rsidRPr="00E4188F" w:rsidRDefault="004566ED" w:rsidP="004566ED">
      <w:pPr>
        <w:pStyle w:val="ListParagraph"/>
        <w:overflowPunct/>
        <w:autoSpaceDE/>
        <w:autoSpaceDN/>
        <w:adjustRightInd/>
        <w:spacing w:after="0"/>
        <w:ind w:left="1639"/>
        <w:contextualSpacing w:val="0"/>
        <w:textAlignment w:val="auto"/>
        <w:rPr>
          <w:rFonts w:eastAsia="MS PGothic" w:cs="Times"/>
          <w:b/>
          <w:bCs/>
          <w:lang w:val="en-US" w:eastAsia="ja-JP"/>
        </w:rPr>
      </w:pPr>
    </w:p>
    <w:p w14:paraId="2F224457" w14:textId="26E32FF2"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C: HARQ feedback for scheduling multiple TB</w:t>
      </w:r>
    </w:p>
    <w:p w14:paraId="74B3261C"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587396D4" w14:textId="016AEC19" w:rsidR="00383DDE" w:rsidRPr="00DC3B95"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color w:val="7030A0"/>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w:t>
      </w:r>
      <w:r w:rsidR="00427989">
        <w:rPr>
          <w:rFonts w:eastAsia="MS PGothic" w:cs="Times"/>
          <w:b/>
          <w:bCs/>
          <w:lang w:val="en-US" w:eastAsia="ja-JP"/>
        </w:rPr>
        <w:t xml:space="preserve"> </w:t>
      </w:r>
      <w:r w:rsidR="00427989" w:rsidRPr="00997F6F">
        <w:rPr>
          <w:rFonts w:eastAsia="MS PGothic" w:cs="Times"/>
          <w:b/>
          <w:bCs/>
          <w:i/>
          <w:iCs/>
          <w:color w:val="7030A0"/>
          <w:lang w:val="en-US" w:eastAsia="ja-JP"/>
        </w:rPr>
        <w:t xml:space="preserve">This feature is unique to </w:t>
      </w:r>
      <w:proofErr w:type="spellStart"/>
      <w:r w:rsidR="00427989" w:rsidRPr="00997F6F">
        <w:rPr>
          <w:rFonts w:eastAsia="MS PGothic" w:cs="Times"/>
          <w:b/>
          <w:bCs/>
          <w:i/>
          <w:iCs/>
          <w:color w:val="7030A0"/>
          <w:lang w:val="en-US" w:eastAsia="ja-JP"/>
        </w:rPr>
        <w:t>eMTC</w:t>
      </w:r>
      <w:proofErr w:type="spellEnd"/>
      <w:r w:rsidR="00427989" w:rsidRPr="00997F6F">
        <w:rPr>
          <w:rFonts w:eastAsia="MS PGothic" w:cs="Times"/>
          <w:b/>
          <w:bCs/>
          <w:i/>
          <w:iCs/>
          <w:color w:val="7030A0"/>
          <w:lang w:val="en-US" w:eastAsia="ja-JP"/>
        </w:rPr>
        <w:t>/NB-IoT over NTN</w:t>
      </w:r>
      <w:r w:rsidR="001204F1">
        <w:rPr>
          <w:rFonts w:eastAsia="MS PGothic" w:cs="Times"/>
          <w:b/>
          <w:bCs/>
          <w:i/>
          <w:iCs/>
          <w:color w:val="7030A0"/>
          <w:lang w:val="en-US" w:eastAsia="ja-JP"/>
        </w:rPr>
        <w:t xml:space="preserve"> (</w:t>
      </w:r>
      <w:r w:rsidR="00D66DF3">
        <w:rPr>
          <w:rFonts w:eastAsia="MS PGothic" w:cs="Times"/>
          <w:b/>
          <w:bCs/>
          <w:i/>
          <w:iCs/>
          <w:color w:val="7030A0"/>
          <w:lang w:val="en-US" w:eastAsia="ja-JP"/>
        </w:rPr>
        <w:t>vis-à-vis NR-NTN</w:t>
      </w:r>
      <w:r w:rsidR="001204F1">
        <w:rPr>
          <w:rFonts w:eastAsia="MS PGothic" w:cs="Times"/>
          <w:b/>
          <w:bCs/>
          <w:i/>
          <w:iCs/>
          <w:color w:val="7030A0"/>
          <w:lang w:val="en-US" w:eastAsia="ja-JP"/>
        </w:rPr>
        <w:t>)</w:t>
      </w:r>
      <w:r w:rsidR="00427989" w:rsidRPr="00997F6F">
        <w:rPr>
          <w:rFonts w:eastAsia="MS PGothic" w:cs="Times"/>
          <w:b/>
          <w:bCs/>
          <w:i/>
          <w:iCs/>
          <w:color w:val="7030A0"/>
          <w:lang w:val="en-US" w:eastAsia="ja-JP"/>
        </w:rPr>
        <w:t xml:space="preserve">, and as described in Section 4 of this document, needs </w:t>
      </w:r>
      <w:r w:rsidR="00216F87" w:rsidRPr="00997F6F">
        <w:rPr>
          <w:rFonts w:eastAsia="MS PGothic" w:cs="Times"/>
          <w:b/>
          <w:bCs/>
          <w:i/>
          <w:iCs/>
          <w:color w:val="7030A0"/>
          <w:lang w:val="en-US" w:eastAsia="ja-JP"/>
        </w:rPr>
        <w:t xml:space="preserve">handling, w.r.t co-existence of feedback-enabled and feedback-disabled HARQ processes that may be scheduled by </w:t>
      </w:r>
      <w:r w:rsidR="00D7631B">
        <w:rPr>
          <w:rFonts w:eastAsia="MS PGothic" w:cs="Times"/>
          <w:b/>
          <w:bCs/>
          <w:i/>
          <w:iCs/>
          <w:color w:val="7030A0"/>
          <w:lang w:val="en-US" w:eastAsia="ja-JP"/>
        </w:rPr>
        <w:t>a</w:t>
      </w:r>
      <w:r w:rsidR="00216F87" w:rsidRPr="00997F6F">
        <w:rPr>
          <w:rFonts w:eastAsia="MS PGothic" w:cs="Times"/>
          <w:b/>
          <w:bCs/>
          <w:i/>
          <w:iCs/>
          <w:color w:val="7030A0"/>
          <w:lang w:val="en-US" w:eastAsia="ja-JP"/>
        </w:rPr>
        <w:t xml:space="preserve"> single DCI</w:t>
      </w:r>
    </w:p>
    <w:p w14:paraId="3B7494EF" w14:textId="77777777" w:rsidR="00DC3B95" w:rsidRPr="00997F6F" w:rsidRDefault="00DC3B95" w:rsidP="00DC3B95">
      <w:pPr>
        <w:pStyle w:val="ListParagraph"/>
        <w:overflowPunct/>
        <w:autoSpaceDE/>
        <w:autoSpaceDN/>
        <w:adjustRightInd/>
        <w:spacing w:after="0"/>
        <w:ind w:left="1639"/>
        <w:contextualSpacing w:val="0"/>
        <w:textAlignment w:val="auto"/>
        <w:rPr>
          <w:rFonts w:eastAsia="MS PGothic" w:cs="Times"/>
          <w:b/>
          <w:bCs/>
          <w:color w:val="7030A0"/>
          <w:lang w:val="en-US" w:eastAsia="ja-JP"/>
        </w:rPr>
      </w:pPr>
    </w:p>
    <w:p w14:paraId="50A486BC" w14:textId="0F593D75"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 xml:space="preserve">Issue D: HARQ bundling for </w:t>
      </w:r>
      <w:proofErr w:type="spellStart"/>
      <w:r w:rsidRPr="00E4188F">
        <w:rPr>
          <w:rFonts w:eastAsia="MS PGothic" w:cs="Times"/>
          <w:b/>
          <w:bCs/>
          <w:lang w:val="en-US" w:eastAsia="ja-JP"/>
        </w:rPr>
        <w:t>eMTC</w:t>
      </w:r>
      <w:proofErr w:type="spellEnd"/>
      <w:r w:rsidRPr="00E4188F">
        <w:rPr>
          <w:rFonts w:eastAsia="MS PGothic" w:cs="Times"/>
          <w:b/>
          <w:bCs/>
          <w:lang w:val="en-US" w:eastAsia="ja-JP"/>
        </w:rPr>
        <w:t xml:space="preserve"> HD-FDD</w:t>
      </w:r>
    </w:p>
    <w:p w14:paraId="6D975877"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06BCC40B" w14:textId="40FB141D" w:rsidR="00383DDE"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w:t>
      </w:r>
      <w:r w:rsidR="00A84064">
        <w:rPr>
          <w:rFonts w:eastAsia="MS PGothic" w:cs="Times"/>
          <w:b/>
          <w:bCs/>
          <w:lang w:val="en-US" w:eastAsia="ja-JP"/>
        </w:rPr>
        <w:t xml:space="preserve"> </w:t>
      </w:r>
      <w:r w:rsidR="000650B3" w:rsidRPr="00997F6F">
        <w:rPr>
          <w:rFonts w:eastAsia="MS PGothic" w:cs="Times"/>
          <w:b/>
          <w:bCs/>
          <w:color w:val="7030A0"/>
          <w:lang w:val="en-US" w:eastAsia="ja-JP"/>
        </w:rPr>
        <w:t xml:space="preserve">In Section 7.3.1 of TS 36.213, the following </w:t>
      </w:r>
      <w:r w:rsidR="00DC3B95">
        <w:rPr>
          <w:rFonts w:eastAsia="MS PGothic" w:cs="Times"/>
          <w:b/>
          <w:bCs/>
          <w:color w:val="7030A0"/>
          <w:lang w:val="en-US" w:eastAsia="ja-JP"/>
        </w:rPr>
        <w:t xml:space="preserve">text </w:t>
      </w:r>
      <w:r w:rsidR="000650B3" w:rsidRPr="00997F6F">
        <w:rPr>
          <w:rFonts w:eastAsia="MS PGothic" w:cs="Times"/>
          <w:b/>
          <w:bCs/>
          <w:color w:val="7030A0"/>
          <w:lang w:val="en-US" w:eastAsia="ja-JP"/>
        </w:rPr>
        <w:t>is written:</w:t>
      </w:r>
    </w:p>
    <w:p w14:paraId="494DDF2E" w14:textId="77777777" w:rsidR="001978DA" w:rsidRDefault="001978DA" w:rsidP="00B0334F">
      <w:pPr>
        <w:pStyle w:val="ListParagraph"/>
        <w:overflowPunct/>
        <w:autoSpaceDE/>
        <w:autoSpaceDN/>
        <w:adjustRightInd/>
        <w:spacing w:after="0"/>
        <w:ind w:left="1639"/>
        <w:contextualSpacing w:val="0"/>
        <w:textAlignment w:val="auto"/>
        <w:rPr>
          <w:rFonts w:eastAsia="MS PGothic" w:cs="Times"/>
          <w:b/>
          <w:bCs/>
          <w:lang w:val="en-US" w:eastAsia="ja-JP"/>
        </w:rPr>
      </w:pPr>
    </w:p>
    <w:p w14:paraId="4FA4ED24" w14:textId="704E061A" w:rsidR="000650B3" w:rsidRPr="00BD1818" w:rsidRDefault="00B57662" w:rsidP="001978DA">
      <w:pPr>
        <w:ind w:left="1219"/>
        <w:rPr>
          <w:rFonts w:eastAsia="SimSun"/>
          <w:i/>
          <w:iCs/>
          <w:lang w:eastAsia="zh-CN"/>
        </w:rPr>
      </w:pPr>
      <w:r>
        <w:rPr>
          <w:rFonts w:eastAsia="SimSun"/>
          <w:i/>
          <w:iCs/>
          <w:lang w:eastAsia="zh-CN"/>
        </w:rPr>
        <w:t>“</w:t>
      </w:r>
      <w:r w:rsidR="000650B3" w:rsidRPr="00BD1818">
        <w:rPr>
          <w:rFonts w:eastAsia="SimSun"/>
          <w:i/>
          <w:iCs/>
          <w:lang w:eastAsia="zh-CN"/>
        </w:rPr>
        <w:t xml:space="preserve">For a BL/CE UE in half-duplex FDD operation, if the UE is configured with </w:t>
      </w:r>
      <w:proofErr w:type="spellStart"/>
      <w:r w:rsidR="000650B3" w:rsidRPr="00BD1818">
        <w:rPr>
          <w:rFonts w:eastAsia="SimSun"/>
          <w:i/>
          <w:iCs/>
          <w:lang w:eastAsia="zh-CN"/>
        </w:rPr>
        <w:t>CEModeA</w:t>
      </w:r>
      <w:proofErr w:type="spellEnd"/>
      <w:r w:rsidR="000650B3" w:rsidRPr="00BD1818">
        <w:rPr>
          <w:rFonts w:eastAsia="SimSun"/>
          <w:i/>
          <w:iCs/>
          <w:lang w:eastAsia="zh-CN"/>
        </w:rPr>
        <w:t xml:space="preserve">, and if the UE is configured with higher layer parameter </w:t>
      </w:r>
      <w:proofErr w:type="spellStart"/>
      <w:r w:rsidR="000650B3" w:rsidRPr="00BD1818">
        <w:rPr>
          <w:i/>
          <w:iCs/>
          <w:lang w:eastAsia="zh-CN"/>
        </w:rPr>
        <w:t>ce</w:t>
      </w:r>
      <w:proofErr w:type="spellEnd"/>
      <w:r w:rsidR="000650B3" w:rsidRPr="00BD1818">
        <w:rPr>
          <w:i/>
          <w:iCs/>
          <w:lang w:eastAsia="zh-CN"/>
        </w:rPr>
        <w:t>-HARQ-</w:t>
      </w:r>
      <w:proofErr w:type="spellStart"/>
      <w:r w:rsidR="000650B3" w:rsidRPr="00BD1818">
        <w:rPr>
          <w:i/>
          <w:iCs/>
          <w:lang w:eastAsia="zh-CN"/>
        </w:rPr>
        <w:t>AckBundling</w:t>
      </w:r>
      <w:proofErr w:type="spellEnd"/>
      <w:r w:rsidR="000650B3" w:rsidRPr="00BD1818">
        <w:rPr>
          <w:i/>
          <w:iCs/>
          <w:lang w:eastAsia="zh-CN"/>
        </w:rPr>
        <w:t xml:space="preserve"> </w:t>
      </w:r>
      <w:r w:rsidR="000650B3" w:rsidRPr="00FF133F">
        <w:rPr>
          <w:rFonts w:hint="eastAsia"/>
          <w:i/>
          <w:iCs/>
          <w:highlight w:val="yellow"/>
          <w:lang w:eastAsia="zh-CN"/>
        </w:rPr>
        <w:t xml:space="preserve">and </w:t>
      </w:r>
      <w:r w:rsidR="000650B3" w:rsidRPr="00FF133F">
        <w:rPr>
          <w:i/>
          <w:iCs/>
          <w:highlight w:val="yellow"/>
          <w:lang w:eastAsia="zh-CN"/>
        </w:rPr>
        <w:t>the 'HARQ-ACK bundling flag' in the corresponding DCI is set to 1</w:t>
      </w:r>
      <w:r w:rsidR="000650B3" w:rsidRPr="00BD1818">
        <w:rPr>
          <w:rFonts w:eastAsia="SimSun"/>
          <w:i/>
          <w:iCs/>
          <w:lang w:eastAsia="zh-CN"/>
        </w:rPr>
        <w:t>.</w:t>
      </w:r>
    </w:p>
    <w:p w14:paraId="052A5500" w14:textId="7C7EA4C3" w:rsidR="000650B3" w:rsidRPr="00BD1818" w:rsidRDefault="000650B3" w:rsidP="001978DA">
      <w:pPr>
        <w:pStyle w:val="B1"/>
        <w:ind w:left="1639" w:firstLine="0"/>
        <w:rPr>
          <w:rFonts w:eastAsia="SimSun"/>
          <w:i/>
          <w:iCs/>
          <w:lang w:eastAsia="zh-CN"/>
        </w:rPr>
      </w:pPr>
      <w:r w:rsidRPr="00BD1818">
        <w:rPr>
          <w:rFonts w:eastAsia="SimSun"/>
          <w:i/>
          <w:iCs/>
          <w:lang w:eastAsia="zh-CN"/>
        </w:rPr>
        <w:t xml:space="preserve">- for HARQ-ACK transmission in subframe n, </w:t>
      </w:r>
      <w:r w:rsidRPr="00BD1818">
        <w:rPr>
          <w:i/>
          <w:iCs/>
          <w:lang w:val="en-US"/>
        </w:rPr>
        <w:t xml:space="preserve">the UE shall generate one HARQ-ACK bit by performing a logical AND operation of HARQ-ACKs </w:t>
      </w:r>
      <w:r w:rsidRPr="00BD1818">
        <w:rPr>
          <w:i/>
          <w:iCs/>
        </w:rPr>
        <w:t xml:space="preserve">across all </w:t>
      </w:r>
      <w:r w:rsidRPr="00BD1818">
        <w:rPr>
          <w:i/>
          <w:iCs/>
          <w:noProof/>
          <w:position w:val="-4"/>
        </w:rPr>
        <w:drawing>
          <wp:inline distT="0" distB="0" distL="0" distR="0" wp14:anchorId="2958D30A" wp14:editId="6B32695D">
            <wp:extent cx="599440" cy="154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440" cy="154305"/>
                    </a:xfrm>
                    <a:prstGeom prst="rect">
                      <a:avLst/>
                    </a:prstGeom>
                    <a:noFill/>
                    <a:ln>
                      <a:noFill/>
                    </a:ln>
                  </pic:spPr>
                </pic:pic>
              </a:graphicData>
            </a:graphic>
          </wp:inline>
        </w:drawing>
      </w:r>
      <w:r w:rsidRPr="00BD1818">
        <w:rPr>
          <w:i/>
          <w:iCs/>
        </w:rPr>
        <w:t xml:space="preserve"> BL/CE DL subframes </w:t>
      </w:r>
      <w:r w:rsidRPr="002825F3">
        <w:rPr>
          <w:rFonts w:eastAsia="SimSun"/>
          <w:i/>
          <w:iCs/>
          <w:highlight w:val="cyan"/>
          <w:lang w:eastAsia="zh-CN"/>
        </w:rPr>
        <w:t>for which subframe n is the 'HARQ-ACK transmission subframe'</w:t>
      </w:r>
      <w:r w:rsidRPr="00BD1818">
        <w:rPr>
          <w:rFonts w:eastAsia="SimSun"/>
          <w:i/>
          <w:iCs/>
          <w:lang w:eastAsia="zh-CN"/>
        </w:rPr>
        <w:t>.</w:t>
      </w:r>
      <w:r w:rsidR="00B57662">
        <w:rPr>
          <w:rFonts w:eastAsia="SimSun"/>
          <w:i/>
          <w:iCs/>
          <w:lang w:eastAsia="zh-CN"/>
        </w:rPr>
        <w:t>”</w:t>
      </w:r>
      <w:r w:rsidRPr="00BD1818">
        <w:rPr>
          <w:rFonts w:eastAsia="SimSun"/>
          <w:i/>
          <w:iCs/>
          <w:lang w:eastAsia="zh-CN"/>
        </w:rPr>
        <w:t xml:space="preserve"> </w:t>
      </w:r>
    </w:p>
    <w:p w14:paraId="4DF6CF60" w14:textId="6BBBE380" w:rsidR="000650B3" w:rsidRPr="00997F6F" w:rsidRDefault="002F43B2" w:rsidP="00BD1818">
      <w:pPr>
        <w:spacing w:after="0"/>
        <w:ind w:left="1440"/>
        <w:rPr>
          <w:rFonts w:eastAsia="MS PGothic" w:cs="Times"/>
          <w:b/>
          <w:bCs/>
          <w:color w:val="7030A0"/>
          <w:lang w:val="en-US" w:eastAsia="ja-JP"/>
        </w:rPr>
      </w:pPr>
      <w:r w:rsidRPr="00997F6F">
        <w:rPr>
          <w:rFonts w:eastAsia="MS PGothic" w:cs="Times"/>
          <w:b/>
          <w:bCs/>
          <w:color w:val="7030A0"/>
          <w:lang w:val="en-US" w:eastAsia="ja-JP"/>
        </w:rPr>
        <w:t>Since a feedback-disabled HARQ process will</w:t>
      </w:r>
      <w:r w:rsidR="001204F1" w:rsidRPr="00997F6F">
        <w:rPr>
          <w:rFonts w:eastAsia="MS PGothic" w:cs="Times"/>
          <w:b/>
          <w:bCs/>
          <w:color w:val="7030A0"/>
          <w:lang w:val="en-US" w:eastAsia="ja-JP"/>
        </w:rPr>
        <w:t xml:space="preserve"> set</w:t>
      </w:r>
      <w:r w:rsidRPr="00FF133F">
        <w:rPr>
          <w:rFonts w:eastAsia="MS PGothic" w:cs="Times"/>
          <w:b/>
          <w:bCs/>
          <w:color w:val="7030A0"/>
          <w:highlight w:val="yellow"/>
          <w:lang w:val="en-US" w:eastAsia="ja-JP"/>
        </w:rPr>
        <w:t xml:space="preserve"> the ‘HARQ-ACK bundling flag’ in the corresponding DCI to 0</w:t>
      </w:r>
      <w:r w:rsidRPr="00997F6F">
        <w:rPr>
          <w:rFonts w:eastAsia="MS PGothic" w:cs="Times"/>
          <w:b/>
          <w:bCs/>
          <w:color w:val="7030A0"/>
          <w:lang w:val="en-US" w:eastAsia="ja-JP"/>
        </w:rPr>
        <w:t xml:space="preserve">, </w:t>
      </w:r>
      <w:r w:rsidR="003543EE">
        <w:rPr>
          <w:rFonts w:eastAsia="MS PGothic" w:cs="Times"/>
          <w:b/>
          <w:bCs/>
          <w:color w:val="7030A0"/>
          <w:lang w:val="en-US" w:eastAsia="ja-JP"/>
        </w:rPr>
        <w:t xml:space="preserve">and there will be </w:t>
      </w:r>
      <w:r w:rsidR="003543EE" w:rsidRPr="002825F3">
        <w:rPr>
          <w:rFonts w:eastAsia="MS PGothic" w:cs="Times"/>
          <w:b/>
          <w:bCs/>
          <w:color w:val="7030A0"/>
          <w:highlight w:val="cyan"/>
          <w:lang w:val="en-US" w:eastAsia="ja-JP"/>
        </w:rPr>
        <w:t>no ‘HARQ-ACK transmission subframe’</w:t>
      </w:r>
      <w:r w:rsidR="002825F3">
        <w:rPr>
          <w:rFonts w:eastAsia="MS PGothic" w:cs="Times"/>
          <w:b/>
          <w:bCs/>
          <w:color w:val="7030A0"/>
          <w:lang w:val="en-US" w:eastAsia="ja-JP"/>
        </w:rPr>
        <w:t xml:space="preserve">, </w:t>
      </w:r>
      <w:r w:rsidR="00BD1818" w:rsidRPr="00997F6F">
        <w:rPr>
          <w:rFonts w:eastAsia="MS PGothic" w:cs="Times"/>
          <w:b/>
          <w:bCs/>
          <w:color w:val="7030A0"/>
          <w:lang w:val="en-US" w:eastAsia="ja-JP"/>
        </w:rPr>
        <w:t xml:space="preserve">these HARQ processes will have no impact on the feedback bit to be generated. No change to the current specifications </w:t>
      </w:r>
      <w:r w:rsidR="001204F1">
        <w:rPr>
          <w:rFonts w:eastAsia="MS PGothic" w:cs="Times"/>
          <w:b/>
          <w:bCs/>
          <w:color w:val="7030A0"/>
          <w:lang w:val="en-US" w:eastAsia="ja-JP"/>
        </w:rPr>
        <w:t xml:space="preserve">is required </w:t>
      </w:r>
      <w:r w:rsidR="003B3682">
        <w:rPr>
          <w:rFonts w:eastAsia="MS PGothic" w:cs="Times"/>
          <w:b/>
          <w:bCs/>
          <w:color w:val="7030A0"/>
          <w:lang w:val="en-US" w:eastAsia="ja-JP"/>
        </w:rPr>
        <w:t>to handle</w:t>
      </w:r>
      <w:r w:rsidR="00BD1818" w:rsidRPr="00997F6F">
        <w:rPr>
          <w:rFonts w:eastAsia="MS PGothic" w:cs="Times"/>
          <w:b/>
          <w:bCs/>
          <w:color w:val="7030A0"/>
          <w:lang w:val="en-US" w:eastAsia="ja-JP"/>
        </w:rPr>
        <w:t xml:space="preserve"> this issue</w:t>
      </w:r>
      <w:r w:rsidR="003B3682">
        <w:rPr>
          <w:rFonts w:eastAsia="MS PGothic" w:cs="Times"/>
          <w:b/>
          <w:bCs/>
          <w:color w:val="7030A0"/>
          <w:lang w:val="en-US" w:eastAsia="ja-JP"/>
        </w:rPr>
        <w:t>.</w:t>
      </w:r>
    </w:p>
    <w:p w14:paraId="3B5883E4" w14:textId="77777777" w:rsidR="00BD1818" w:rsidRPr="00B0334F" w:rsidRDefault="00BD1818" w:rsidP="00BD1818">
      <w:pPr>
        <w:spacing w:after="0"/>
        <w:ind w:left="1440"/>
        <w:rPr>
          <w:rFonts w:eastAsia="MS PGothic" w:cs="Times"/>
          <w:b/>
          <w:bCs/>
          <w:lang w:val="en-US" w:eastAsia="ja-JP"/>
        </w:rPr>
      </w:pPr>
    </w:p>
    <w:p w14:paraId="52D1BEED" w14:textId="02827A95"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F: NPRACH capacity</w:t>
      </w:r>
    </w:p>
    <w:p w14:paraId="62A54CDD"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162A378E" w14:textId="4EA20DFC" w:rsidR="00383DDE"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w:t>
      </w:r>
      <w:r w:rsidR="005466F8">
        <w:rPr>
          <w:rFonts w:eastAsia="MS PGothic" w:cs="Times"/>
          <w:b/>
          <w:bCs/>
          <w:lang w:val="en-US" w:eastAsia="ja-JP"/>
        </w:rPr>
        <w:t xml:space="preserve"> </w:t>
      </w:r>
      <w:r w:rsidR="005466F8" w:rsidRPr="005466F8">
        <w:rPr>
          <w:rFonts w:eastAsia="MS PGothic" w:cs="Times"/>
          <w:b/>
          <w:bCs/>
          <w:color w:val="7030A0"/>
          <w:lang w:val="en-US" w:eastAsia="ja-JP"/>
        </w:rPr>
        <w:t>This issue should be de-prioritized</w:t>
      </w:r>
      <w:r w:rsidR="008D5EC7">
        <w:rPr>
          <w:rFonts w:eastAsia="MS PGothic" w:cs="Times"/>
          <w:b/>
          <w:bCs/>
          <w:color w:val="7030A0"/>
          <w:lang w:val="en-US" w:eastAsia="ja-JP"/>
        </w:rPr>
        <w:t>.</w:t>
      </w:r>
    </w:p>
    <w:p w14:paraId="03B21C2B" w14:textId="77777777" w:rsidR="00DC3B95" w:rsidRPr="00E4188F" w:rsidRDefault="00DC3B95" w:rsidP="00DC3B95">
      <w:pPr>
        <w:pStyle w:val="ListParagraph"/>
        <w:overflowPunct/>
        <w:autoSpaceDE/>
        <w:autoSpaceDN/>
        <w:adjustRightInd/>
        <w:spacing w:after="0"/>
        <w:ind w:left="1639"/>
        <w:contextualSpacing w:val="0"/>
        <w:textAlignment w:val="auto"/>
        <w:rPr>
          <w:rFonts w:eastAsia="MS PGothic" w:cs="Times"/>
          <w:b/>
          <w:bCs/>
          <w:lang w:val="en-US" w:eastAsia="ja-JP"/>
        </w:rPr>
      </w:pPr>
    </w:p>
    <w:p w14:paraId="539661C3" w14:textId="62EF499A"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 xml:space="preserve">Issue G: Serving cell/satellite change during data transfer (FFS: for </w:t>
      </w:r>
      <w:proofErr w:type="spellStart"/>
      <w:r w:rsidRPr="00E4188F">
        <w:rPr>
          <w:rFonts w:eastAsia="MS PGothic" w:cs="Times"/>
          <w:b/>
          <w:bCs/>
          <w:lang w:val="en-US" w:eastAsia="ja-JP"/>
        </w:rPr>
        <w:t>eMTC</w:t>
      </w:r>
      <w:proofErr w:type="spellEnd"/>
      <w:r w:rsidRPr="00E4188F">
        <w:rPr>
          <w:rFonts w:eastAsia="MS PGothic" w:cs="Times"/>
          <w:b/>
          <w:bCs/>
          <w:lang w:val="en-US" w:eastAsia="ja-JP"/>
        </w:rPr>
        <w:t xml:space="preserve"> and/or NB-IoT)</w:t>
      </w:r>
    </w:p>
    <w:p w14:paraId="10E78AB1"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12D6B70F" w14:textId="2B9E460A" w:rsidR="00383DDE" w:rsidRPr="00E4188F"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 xml:space="preserve">: </w:t>
      </w:r>
      <w:r w:rsidR="00D66DF3" w:rsidRPr="005466F8">
        <w:rPr>
          <w:rFonts w:eastAsia="MS PGothic" w:cs="Times"/>
          <w:b/>
          <w:bCs/>
          <w:color w:val="7030A0"/>
          <w:lang w:val="en-US" w:eastAsia="ja-JP"/>
        </w:rPr>
        <w:t xml:space="preserve">This </w:t>
      </w:r>
      <w:r w:rsidR="005466F8" w:rsidRPr="005466F8">
        <w:rPr>
          <w:rFonts w:eastAsia="MS PGothic" w:cs="Times"/>
          <w:b/>
          <w:bCs/>
          <w:color w:val="7030A0"/>
          <w:lang w:val="en-US" w:eastAsia="ja-JP"/>
        </w:rPr>
        <w:t xml:space="preserve">issue </w:t>
      </w:r>
      <w:r w:rsidR="00635D0F">
        <w:rPr>
          <w:rFonts w:eastAsia="MS PGothic" w:cs="Times"/>
          <w:b/>
          <w:bCs/>
          <w:color w:val="7030A0"/>
          <w:lang w:val="en-US" w:eastAsia="ja-JP"/>
        </w:rPr>
        <w:t>is not related to feedback enabling/</w:t>
      </w:r>
      <w:r w:rsidR="003404DE">
        <w:rPr>
          <w:rFonts w:eastAsia="MS PGothic" w:cs="Times"/>
          <w:b/>
          <w:bCs/>
          <w:color w:val="7030A0"/>
          <w:lang w:val="en-US" w:eastAsia="ja-JP"/>
        </w:rPr>
        <w:t>disabling and</w:t>
      </w:r>
      <w:r w:rsidR="00635D0F">
        <w:rPr>
          <w:rFonts w:eastAsia="MS PGothic" w:cs="Times"/>
          <w:b/>
          <w:bCs/>
          <w:color w:val="7030A0"/>
          <w:lang w:val="en-US" w:eastAsia="ja-JP"/>
        </w:rPr>
        <w:t xml:space="preserve"> </w:t>
      </w:r>
      <w:r w:rsidR="005466F8" w:rsidRPr="005466F8">
        <w:rPr>
          <w:rFonts w:eastAsia="MS PGothic" w:cs="Times"/>
          <w:b/>
          <w:bCs/>
          <w:color w:val="7030A0"/>
          <w:lang w:val="en-US" w:eastAsia="ja-JP"/>
        </w:rPr>
        <w:t>should be de-prioritized</w:t>
      </w:r>
      <w:r w:rsidR="008D5EC7">
        <w:rPr>
          <w:rFonts w:eastAsia="MS PGothic" w:cs="Times"/>
          <w:b/>
          <w:bCs/>
          <w:color w:val="7030A0"/>
          <w:lang w:val="en-US" w:eastAsia="ja-JP"/>
        </w:rPr>
        <w:t>.</w:t>
      </w:r>
    </w:p>
    <w:p w14:paraId="326A905B" w14:textId="4B31639C" w:rsidR="00B83D02" w:rsidRPr="009139F5" w:rsidRDefault="00B83D02" w:rsidP="009139F5">
      <w:pPr>
        <w:rPr>
          <w:b/>
          <w:bCs/>
        </w:rPr>
      </w:pP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661F5CF2" w14:textId="5F196483" w:rsidR="0033504E" w:rsidRDefault="000236C6" w:rsidP="00B734B4">
      <w:r w:rsidRPr="000236C6">
        <w:t xml:space="preserve">In this contribution we presented our views on </w:t>
      </w:r>
      <w:r w:rsidR="000B3E7A">
        <w:t>enhancements to NB-IoT/</w:t>
      </w:r>
      <w:proofErr w:type="spellStart"/>
      <w:r w:rsidR="000B3E7A">
        <w:t>eMTC</w:t>
      </w:r>
      <w:proofErr w:type="spellEnd"/>
      <w:r w:rsidR="000B3E7A">
        <w:t xml:space="preserve"> over NTN as it relates to </w:t>
      </w:r>
      <w:r w:rsidR="00407AA7">
        <w:t>disabling of HARQ feedback</w:t>
      </w:r>
      <w:r w:rsidRPr="000236C6">
        <w:t xml:space="preserve">. </w:t>
      </w:r>
      <w:r w:rsidR="00BC3A60">
        <w:t>We summarize our proposals below.</w:t>
      </w:r>
    </w:p>
    <w:p w14:paraId="3E42B8CB" w14:textId="77777777" w:rsidR="00077A25" w:rsidRPr="00892794" w:rsidRDefault="00077A25" w:rsidP="00077A25">
      <w:pPr>
        <w:rPr>
          <w:b/>
          <w:bCs/>
        </w:rPr>
      </w:pPr>
      <w:r w:rsidRPr="00892794">
        <w:rPr>
          <w:b/>
          <w:bCs/>
          <w:i/>
          <w:iCs/>
          <w:u w:val="single"/>
        </w:rPr>
        <w:t>Observation</w:t>
      </w:r>
      <w:r>
        <w:rPr>
          <w:b/>
          <w:bCs/>
          <w:i/>
          <w:iCs/>
          <w:u w:val="single"/>
        </w:rPr>
        <w:t xml:space="preserve"> 1</w:t>
      </w:r>
      <w:r w:rsidRPr="00892794">
        <w:rPr>
          <w:b/>
          <w:bCs/>
        </w:rPr>
        <w:t>: For GEO Set 1 deployments, lack of feedback disabled HARQ process(es) results in a throughput/latency penalty of &gt; 11x for UEs with one HARQ process and &gt; 5.5x for UEs with two HARQ processes.</w:t>
      </w:r>
    </w:p>
    <w:p w14:paraId="20B81AAA" w14:textId="77777777" w:rsidR="00077A25" w:rsidRPr="00892794" w:rsidRDefault="00077A25" w:rsidP="00077A25">
      <w:pPr>
        <w:rPr>
          <w:b/>
          <w:bCs/>
        </w:rPr>
      </w:pPr>
      <w:r w:rsidRPr="00892794">
        <w:rPr>
          <w:b/>
          <w:bCs/>
          <w:i/>
          <w:iCs/>
          <w:u w:val="single"/>
        </w:rPr>
        <w:t>Proposal</w:t>
      </w:r>
      <w:r>
        <w:rPr>
          <w:b/>
          <w:bCs/>
          <w:i/>
          <w:iCs/>
          <w:u w:val="single"/>
        </w:rPr>
        <w:t xml:space="preserve"> 1</w:t>
      </w:r>
      <w:r w:rsidRPr="00892794">
        <w:rPr>
          <w:b/>
          <w:bCs/>
        </w:rPr>
        <w:t xml:space="preserve">: Specify feedback-disabled HARQ processes for </w:t>
      </w:r>
      <w:proofErr w:type="spellStart"/>
      <w:r w:rsidRPr="00892794">
        <w:rPr>
          <w:b/>
          <w:bCs/>
        </w:rPr>
        <w:t>eMTC</w:t>
      </w:r>
      <w:proofErr w:type="spellEnd"/>
      <w:r w:rsidRPr="00892794">
        <w:rPr>
          <w:b/>
          <w:bCs/>
        </w:rPr>
        <w:t xml:space="preserve"> and NB-IoT over NTN</w:t>
      </w:r>
    </w:p>
    <w:p w14:paraId="51E3BA35" w14:textId="45FBD5D2" w:rsidR="00077A25" w:rsidRPr="00892794" w:rsidRDefault="00077A25" w:rsidP="00077A25">
      <w:pPr>
        <w:rPr>
          <w:b/>
          <w:bCs/>
        </w:rPr>
      </w:pPr>
      <w:r w:rsidRPr="00892794">
        <w:rPr>
          <w:b/>
          <w:bCs/>
          <w:i/>
          <w:iCs/>
          <w:u w:val="single"/>
        </w:rPr>
        <w:lastRenderedPageBreak/>
        <w:t>Proposal</w:t>
      </w:r>
      <w:r>
        <w:rPr>
          <w:b/>
          <w:bCs/>
          <w:i/>
          <w:iCs/>
          <w:u w:val="single"/>
        </w:rPr>
        <w:t xml:space="preserve"> 2</w:t>
      </w:r>
      <w:r w:rsidRPr="00892794">
        <w:rPr>
          <w:b/>
          <w:bCs/>
        </w:rPr>
        <w:t xml:space="preserve">: RAN1 to support two additional feedback-disabled HARQ process for NB-IoT over NTN, resulting in a total of </w:t>
      </w:r>
      <w:r w:rsidR="001A5B60">
        <w:rPr>
          <w:b/>
          <w:bCs/>
        </w:rPr>
        <w:t xml:space="preserve">up to </w:t>
      </w:r>
      <w:r w:rsidRPr="00892794">
        <w:rPr>
          <w:b/>
          <w:bCs/>
        </w:rPr>
        <w:t>four HARQ processes.</w:t>
      </w:r>
    </w:p>
    <w:p w14:paraId="286B63EA" w14:textId="77777777" w:rsidR="00077A25" w:rsidRDefault="00077A25" w:rsidP="00077A25">
      <w:pPr>
        <w:pStyle w:val="ListParagraph"/>
        <w:numPr>
          <w:ilvl w:val="0"/>
          <w:numId w:val="36"/>
        </w:numPr>
        <w:rPr>
          <w:b/>
          <w:bCs/>
        </w:rPr>
      </w:pPr>
      <w:r w:rsidRPr="00892794">
        <w:rPr>
          <w:b/>
          <w:bCs/>
        </w:rPr>
        <w:t>At most two out of these four HARQ processes will have HARQ feedback enabled, and the soft-buffer storage requirements for NB-IoT UEs will not be impacted.</w:t>
      </w:r>
    </w:p>
    <w:p w14:paraId="3AE4C79F" w14:textId="77777777" w:rsidR="00077A25" w:rsidRPr="00DE7D34" w:rsidRDefault="00077A25" w:rsidP="00077A25">
      <w:pPr>
        <w:rPr>
          <w:b/>
          <w:bCs/>
        </w:rPr>
      </w:pPr>
      <w:r w:rsidRPr="000E6042">
        <w:rPr>
          <w:b/>
          <w:bCs/>
          <w:i/>
          <w:iCs/>
          <w:u w:val="single"/>
        </w:rPr>
        <w:t>Proposal</w:t>
      </w:r>
      <w:r>
        <w:rPr>
          <w:b/>
          <w:bCs/>
          <w:i/>
          <w:iCs/>
          <w:u w:val="single"/>
        </w:rPr>
        <w:t xml:space="preserve"> 3</w:t>
      </w:r>
      <w:r>
        <w:rPr>
          <w:b/>
          <w:bCs/>
        </w:rPr>
        <w:t xml:space="preserve">: For </w:t>
      </w:r>
      <w:proofErr w:type="spellStart"/>
      <w:r>
        <w:rPr>
          <w:b/>
          <w:bCs/>
        </w:rPr>
        <w:t>eMTC</w:t>
      </w:r>
      <w:proofErr w:type="spellEnd"/>
      <w:r>
        <w:rPr>
          <w:b/>
          <w:bCs/>
        </w:rPr>
        <w:t xml:space="preserve"> over NTN, introduce a 4-millisecond gap between successive PDSCH transmissions over the same feedback disabled HARQ process.</w:t>
      </w:r>
    </w:p>
    <w:p w14:paraId="257394EE" w14:textId="77777777" w:rsidR="006C5C00" w:rsidRDefault="006C5C00" w:rsidP="006C5C00">
      <w:pPr>
        <w:rPr>
          <w:b/>
          <w:bCs/>
        </w:rPr>
      </w:pPr>
      <w:r w:rsidRPr="00E026DF">
        <w:rPr>
          <w:b/>
          <w:bCs/>
          <w:i/>
          <w:iCs/>
          <w:u w:val="single"/>
        </w:rPr>
        <w:t>Proposal</w:t>
      </w:r>
      <w:r>
        <w:rPr>
          <w:b/>
          <w:bCs/>
          <w:i/>
          <w:iCs/>
          <w:u w:val="single"/>
        </w:rPr>
        <w:t xml:space="preserve"> 4</w:t>
      </w:r>
      <w:r>
        <w:rPr>
          <w:b/>
          <w:bCs/>
        </w:rPr>
        <w:t xml:space="preserve">: RAN1 to discuss the impact of introducing feedback-less HARQ processes on multi-TB scheduling for </w:t>
      </w:r>
      <w:proofErr w:type="spellStart"/>
      <w:r>
        <w:rPr>
          <w:b/>
          <w:bCs/>
        </w:rPr>
        <w:t>eMTC</w:t>
      </w:r>
      <w:proofErr w:type="spellEnd"/>
      <w:r>
        <w:rPr>
          <w:b/>
          <w:bCs/>
        </w:rPr>
        <w:t xml:space="preserve"> and NB-IoT in the context of:</w:t>
      </w:r>
    </w:p>
    <w:p w14:paraId="5E252C80" w14:textId="77777777" w:rsidR="006C5C00" w:rsidRDefault="006C5C00" w:rsidP="006C5C00">
      <w:pPr>
        <w:pStyle w:val="ListParagraph"/>
        <w:numPr>
          <w:ilvl w:val="0"/>
          <w:numId w:val="36"/>
        </w:numPr>
        <w:rPr>
          <w:b/>
          <w:bCs/>
        </w:rPr>
      </w:pPr>
      <w:r>
        <w:rPr>
          <w:b/>
          <w:bCs/>
        </w:rPr>
        <w:t>A single DCI scheduling feedback-enabled and feedback-disabled TBs at the same time</w:t>
      </w:r>
    </w:p>
    <w:p w14:paraId="532913A0" w14:textId="77777777" w:rsidR="006C5C00" w:rsidRDefault="006C5C00" w:rsidP="006C5C00">
      <w:pPr>
        <w:pStyle w:val="ListParagraph"/>
        <w:numPr>
          <w:ilvl w:val="0"/>
          <w:numId w:val="36"/>
        </w:numPr>
        <w:rPr>
          <w:b/>
          <w:bCs/>
        </w:rPr>
      </w:pPr>
      <w:r>
        <w:rPr>
          <w:b/>
          <w:bCs/>
        </w:rPr>
        <w:t>HARQ-ACK transmission timeline when feedback-enabled and feedback-disabled TBs are scheduled by the same DCI</w:t>
      </w:r>
    </w:p>
    <w:p w14:paraId="69E2B4E5" w14:textId="77777777" w:rsidR="006C5C00" w:rsidRPr="009E5744" w:rsidRDefault="006C5C00" w:rsidP="006C5C00">
      <w:pPr>
        <w:pStyle w:val="ListParagraph"/>
        <w:numPr>
          <w:ilvl w:val="0"/>
          <w:numId w:val="36"/>
        </w:numPr>
        <w:rPr>
          <w:b/>
          <w:bCs/>
        </w:rPr>
      </w:pPr>
      <w:r>
        <w:rPr>
          <w:b/>
          <w:bCs/>
        </w:rPr>
        <w:t>Determination of bundled HARQ ACK feedback when some TBs in a bundle have feedback enabled, while others have feedback disabled</w:t>
      </w:r>
    </w:p>
    <w:p w14:paraId="18FDE41A" w14:textId="77777777" w:rsidR="009E5744" w:rsidRPr="00022611" w:rsidRDefault="009E5744" w:rsidP="009E5744">
      <w:pPr>
        <w:rPr>
          <w:rFonts w:cs="Times"/>
          <w:b/>
          <w:bCs/>
          <w:lang w:eastAsia="zh-CN"/>
        </w:rPr>
      </w:pPr>
      <w:r w:rsidRPr="00022611">
        <w:rPr>
          <w:rFonts w:cs="Times"/>
          <w:b/>
          <w:bCs/>
          <w:i/>
          <w:iCs/>
          <w:u w:val="single"/>
          <w:lang w:eastAsia="zh-CN"/>
        </w:rPr>
        <w:t>Proposal</w:t>
      </w:r>
      <w:r>
        <w:rPr>
          <w:rFonts w:cs="Times"/>
          <w:b/>
          <w:bCs/>
          <w:i/>
          <w:iCs/>
          <w:u w:val="single"/>
          <w:lang w:eastAsia="zh-CN"/>
        </w:rPr>
        <w:t xml:space="preserve"> 5</w:t>
      </w:r>
      <w:r>
        <w:rPr>
          <w:rFonts w:cs="Times"/>
          <w:lang w:eastAsia="zh-CN"/>
        </w:rPr>
        <w:t xml:space="preserve">: </w:t>
      </w:r>
      <w:r w:rsidRPr="00022611">
        <w:rPr>
          <w:rFonts w:cs="Times"/>
          <w:b/>
          <w:bCs/>
          <w:color w:val="000000"/>
          <w:lang w:eastAsia="zh-CN"/>
        </w:rPr>
        <w:t xml:space="preserve">For IoT NTN, to configure/indicate </w:t>
      </w:r>
      <w:r w:rsidRPr="00022611">
        <w:rPr>
          <w:rFonts w:cs="Times"/>
          <w:b/>
          <w:bCs/>
          <w:lang w:eastAsia="zh-CN"/>
        </w:rPr>
        <w:t xml:space="preserve">enabling/disabling on </w:t>
      </w:r>
      <w:r w:rsidRPr="00022611">
        <w:rPr>
          <w:rFonts w:cs="Times"/>
          <w:b/>
          <w:bCs/>
        </w:rPr>
        <w:t xml:space="preserve">HARQ feedback </w:t>
      </w:r>
      <w:r w:rsidRPr="00022611">
        <w:rPr>
          <w:rFonts w:cs="Times"/>
          <w:b/>
          <w:bCs/>
          <w:lang w:eastAsia="zh-CN"/>
        </w:rPr>
        <w:t xml:space="preserve">for downlink transmission, the following option is considered </w:t>
      </w:r>
      <w:r>
        <w:rPr>
          <w:rFonts w:cs="Times"/>
          <w:b/>
          <w:bCs/>
          <w:lang w:eastAsia="zh-CN"/>
        </w:rPr>
        <w:t xml:space="preserve">as </w:t>
      </w:r>
      <w:r w:rsidRPr="00022611">
        <w:rPr>
          <w:rFonts w:cs="Times"/>
          <w:b/>
          <w:bCs/>
          <w:lang w:eastAsia="zh-CN"/>
        </w:rPr>
        <w:t>the default:</w:t>
      </w:r>
    </w:p>
    <w:p w14:paraId="5F248678" w14:textId="5A70C16E" w:rsidR="009E5744" w:rsidRDefault="009E5744" w:rsidP="009E5744">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022611">
        <w:rPr>
          <w:rFonts w:eastAsia="MS PGothic" w:cs="Times"/>
          <w:b/>
          <w:bCs/>
          <w:lang w:val="en-US" w:eastAsia="ja-JP"/>
        </w:rPr>
        <w:t>Option 1: per HARQ process via UE specific RRC signaling</w:t>
      </w:r>
    </w:p>
    <w:p w14:paraId="32B97CFE" w14:textId="77777777" w:rsidR="003619D0" w:rsidRPr="00022611" w:rsidRDefault="003619D0" w:rsidP="003619D0">
      <w:pPr>
        <w:pStyle w:val="ListParagraph"/>
        <w:overflowPunct/>
        <w:autoSpaceDE/>
        <w:autoSpaceDN/>
        <w:adjustRightInd/>
        <w:spacing w:after="0"/>
        <w:contextualSpacing w:val="0"/>
        <w:textAlignment w:val="auto"/>
        <w:rPr>
          <w:rFonts w:eastAsia="MS PGothic" w:cs="Times"/>
          <w:b/>
          <w:bCs/>
          <w:lang w:val="en-US" w:eastAsia="ja-JP"/>
        </w:rPr>
      </w:pPr>
    </w:p>
    <w:p w14:paraId="17479F4F" w14:textId="77777777" w:rsidR="009E5744" w:rsidRPr="00E4188F" w:rsidRDefault="009E5744" w:rsidP="009E5744">
      <w:pPr>
        <w:rPr>
          <w:rFonts w:cs="Times"/>
          <w:b/>
          <w:bCs/>
          <w:color w:val="000000"/>
          <w:lang w:eastAsia="zh-CN"/>
        </w:rPr>
      </w:pPr>
      <w:r w:rsidRPr="00E4188F">
        <w:rPr>
          <w:b/>
          <w:bCs/>
          <w:i/>
          <w:iCs/>
          <w:u w:val="single"/>
        </w:rPr>
        <w:t>Proposal</w:t>
      </w:r>
      <w:r>
        <w:rPr>
          <w:b/>
          <w:bCs/>
          <w:i/>
          <w:iCs/>
          <w:u w:val="single"/>
        </w:rPr>
        <w:t xml:space="preserve"> 6</w:t>
      </w:r>
      <w:r w:rsidRPr="00E4188F">
        <w:rPr>
          <w:b/>
          <w:bCs/>
        </w:rPr>
        <w:t xml:space="preserve">: </w:t>
      </w:r>
      <w:r w:rsidRPr="00E4188F">
        <w:rPr>
          <w:rFonts w:cs="Times"/>
          <w:b/>
          <w:bCs/>
          <w:color w:val="000000"/>
          <w:lang w:eastAsia="zh-CN"/>
        </w:rPr>
        <w:t xml:space="preserve">For IoT NTN, regarding the following potential issues due to enabling/disabling on HARQ feedback for downlink transmission, the </w:t>
      </w:r>
      <w:r w:rsidRPr="00E4188F">
        <w:rPr>
          <w:rFonts w:cs="Times"/>
          <w:b/>
          <w:bCs/>
          <w:color w:val="FF0000"/>
          <w:lang w:eastAsia="zh-CN"/>
        </w:rPr>
        <w:t>viewpoints</w:t>
      </w:r>
      <w:r w:rsidRPr="00E4188F">
        <w:rPr>
          <w:rFonts w:cs="Times"/>
          <w:b/>
          <w:bCs/>
          <w:color w:val="000000"/>
          <w:lang w:eastAsia="zh-CN"/>
        </w:rPr>
        <w:t xml:space="preserve"> </w:t>
      </w:r>
      <w:r w:rsidRPr="00C65127">
        <w:rPr>
          <w:rFonts w:cs="Times"/>
          <w:b/>
          <w:bCs/>
          <w:color w:val="7030A0"/>
          <w:lang w:eastAsia="zh-CN"/>
        </w:rPr>
        <w:t xml:space="preserve">expressed herein </w:t>
      </w:r>
      <w:r w:rsidRPr="00E4188F">
        <w:rPr>
          <w:rFonts w:cs="Times"/>
          <w:b/>
          <w:bCs/>
          <w:color w:val="000000"/>
          <w:lang w:eastAsia="zh-CN"/>
        </w:rPr>
        <w:t>are adopted</w:t>
      </w:r>
    </w:p>
    <w:p w14:paraId="31B75AE3" w14:textId="77777777" w:rsidR="009E5744" w:rsidRDefault="009E5744" w:rsidP="009E5744">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A: SPS PDSCH</w:t>
      </w:r>
    </w:p>
    <w:p w14:paraId="6226915A" w14:textId="77777777" w:rsidR="009E5744" w:rsidRPr="00E4188F" w:rsidRDefault="009E5744" w:rsidP="009E5744">
      <w:pPr>
        <w:pStyle w:val="ListParagraph"/>
        <w:overflowPunct/>
        <w:autoSpaceDE/>
        <w:autoSpaceDN/>
        <w:adjustRightInd/>
        <w:spacing w:after="0"/>
        <w:contextualSpacing w:val="0"/>
        <w:textAlignment w:val="auto"/>
        <w:rPr>
          <w:rFonts w:eastAsia="MS PGothic" w:cs="Times"/>
          <w:b/>
          <w:bCs/>
          <w:lang w:val="en-US" w:eastAsia="ja-JP"/>
        </w:rPr>
      </w:pPr>
    </w:p>
    <w:p w14:paraId="7CA31032" w14:textId="77777777" w:rsidR="009E5744" w:rsidRDefault="009E5744" w:rsidP="009E5744">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 xml:space="preserve">: </w:t>
      </w:r>
      <w:r w:rsidRPr="009B5762">
        <w:rPr>
          <w:rFonts w:eastAsia="MS PGothic" w:cs="Times"/>
          <w:b/>
          <w:bCs/>
          <w:color w:val="7030A0"/>
          <w:lang w:val="en-US" w:eastAsia="ja-JP"/>
        </w:rPr>
        <w:t>NR-NTN solution may be adopted as the baseline.</w:t>
      </w:r>
    </w:p>
    <w:p w14:paraId="16B13A97" w14:textId="77777777" w:rsidR="009E5744" w:rsidRPr="00E4188F" w:rsidRDefault="009E5744" w:rsidP="009E5744">
      <w:pPr>
        <w:pStyle w:val="ListParagraph"/>
        <w:overflowPunct/>
        <w:autoSpaceDE/>
        <w:autoSpaceDN/>
        <w:adjustRightInd/>
        <w:spacing w:after="0"/>
        <w:ind w:left="1639"/>
        <w:contextualSpacing w:val="0"/>
        <w:textAlignment w:val="auto"/>
        <w:rPr>
          <w:rFonts w:eastAsia="MS PGothic" w:cs="Times"/>
          <w:b/>
          <w:bCs/>
          <w:lang w:val="en-US" w:eastAsia="ja-JP"/>
        </w:rPr>
      </w:pPr>
    </w:p>
    <w:p w14:paraId="2821600A" w14:textId="77777777" w:rsidR="009E5744" w:rsidRDefault="009E5744" w:rsidP="009E5744">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B: (N)PDSCH/(N)PDCCH scheduling restriction</w:t>
      </w:r>
    </w:p>
    <w:p w14:paraId="236E276B" w14:textId="77777777" w:rsidR="009E5744" w:rsidRPr="00E4188F" w:rsidRDefault="009E5744" w:rsidP="009E5744">
      <w:pPr>
        <w:pStyle w:val="ListParagraph"/>
        <w:overflowPunct/>
        <w:autoSpaceDE/>
        <w:autoSpaceDN/>
        <w:adjustRightInd/>
        <w:spacing w:after="0"/>
        <w:contextualSpacing w:val="0"/>
        <w:textAlignment w:val="auto"/>
        <w:rPr>
          <w:rFonts w:eastAsia="MS PGothic" w:cs="Times"/>
          <w:b/>
          <w:bCs/>
          <w:lang w:val="en-US" w:eastAsia="ja-JP"/>
        </w:rPr>
      </w:pPr>
    </w:p>
    <w:p w14:paraId="53EAE7CC" w14:textId="77777777" w:rsidR="009E5744" w:rsidRPr="00563C40" w:rsidRDefault="009E5744" w:rsidP="009E5744">
      <w:pPr>
        <w:pStyle w:val="ListParagraph"/>
        <w:numPr>
          <w:ilvl w:val="1"/>
          <w:numId w:val="37"/>
        </w:numPr>
        <w:overflowPunct/>
        <w:autoSpaceDE/>
        <w:autoSpaceDN/>
        <w:adjustRightInd/>
        <w:spacing w:after="0"/>
        <w:contextualSpacing w:val="0"/>
        <w:textAlignment w:val="auto"/>
        <w:rPr>
          <w:rFonts w:eastAsia="MS PGothic" w:cs="Times"/>
          <w:b/>
          <w:bCs/>
          <w:color w:val="7030A0"/>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w:t>
      </w:r>
      <w:r>
        <w:rPr>
          <w:rFonts w:eastAsia="MS PGothic" w:cs="Times"/>
          <w:b/>
          <w:bCs/>
          <w:lang w:val="en-US" w:eastAsia="ja-JP"/>
        </w:rPr>
        <w:t xml:space="preserve"> </w:t>
      </w:r>
      <w:r w:rsidRPr="00563C40">
        <w:rPr>
          <w:rFonts w:eastAsia="MS PGothic" w:cs="Times"/>
          <w:b/>
          <w:bCs/>
          <w:color w:val="7030A0"/>
          <w:lang w:val="en-US" w:eastAsia="ja-JP"/>
        </w:rPr>
        <w:t xml:space="preserve">For e-MTC, Proposal 3 in Section 3 of this document (like Proposal 5-1a in R1-2205555) should be adopted. </w:t>
      </w:r>
    </w:p>
    <w:p w14:paraId="75CB523A" w14:textId="77777777" w:rsidR="009E5744" w:rsidRPr="00563C40" w:rsidRDefault="009E5744" w:rsidP="009E5744">
      <w:pPr>
        <w:pStyle w:val="ListParagraph"/>
        <w:overflowPunct/>
        <w:autoSpaceDE/>
        <w:autoSpaceDN/>
        <w:adjustRightInd/>
        <w:spacing w:after="0"/>
        <w:ind w:left="1639"/>
        <w:contextualSpacing w:val="0"/>
        <w:textAlignment w:val="auto"/>
        <w:rPr>
          <w:rFonts w:eastAsia="MS PGothic" w:cs="Times"/>
          <w:b/>
          <w:bCs/>
          <w:color w:val="7030A0"/>
          <w:lang w:val="en-US" w:eastAsia="ja-JP"/>
        </w:rPr>
      </w:pPr>
    </w:p>
    <w:p w14:paraId="141E621A" w14:textId="77777777" w:rsidR="009E5744" w:rsidRPr="00563C40" w:rsidRDefault="009E5744" w:rsidP="009E5744">
      <w:pPr>
        <w:pStyle w:val="ListParagraph"/>
        <w:overflowPunct/>
        <w:autoSpaceDE/>
        <w:autoSpaceDN/>
        <w:adjustRightInd/>
        <w:spacing w:after="0"/>
        <w:ind w:left="1639"/>
        <w:contextualSpacing w:val="0"/>
        <w:textAlignment w:val="auto"/>
        <w:rPr>
          <w:rFonts w:eastAsia="MS PGothic" w:cs="Times"/>
          <w:b/>
          <w:bCs/>
          <w:color w:val="7030A0"/>
          <w:lang w:val="en-US" w:eastAsia="ja-JP"/>
        </w:rPr>
      </w:pPr>
      <w:r w:rsidRPr="00563C40">
        <w:rPr>
          <w:rFonts w:eastAsia="MS PGothic" w:cs="Times"/>
          <w:b/>
          <w:bCs/>
          <w:color w:val="7030A0"/>
          <w:lang w:val="en-US" w:eastAsia="ja-JP"/>
        </w:rPr>
        <w:t xml:space="preserve">For NB-IoT, </w:t>
      </w:r>
      <w:r w:rsidRPr="00563C40">
        <w:rPr>
          <w:rFonts w:eastAsia="MS PGothic" w:cs="Times"/>
          <w:b/>
          <w:bCs/>
          <w:color w:val="7030A0"/>
          <w:highlight w:val="green"/>
          <w:lang w:val="en-US" w:eastAsia="ja-JP"/>
        </w:rPr>
        <w:t>legacy specifications</w:t>
      </w:r>
      <w:r w:rsidRPr="00563C40">
        <w:rPr>
          <w:rFonts w:eastAsia="MS PGothic" w:cs="Times"/>
          <w:b/>
          <w:bCs/>
          <w:color w:val="7030A0"/>
          <w:lang w:val="en-US" w:eastAsia="ja-JP"/>
        </w:rPr>
        <w:t xml:space="preserve"> (Section 16.6 of TS 36.213, quoted below) should be followed (like Option 2 in Proposal 5-2a in R1-2205555):</w:t>
      </w:r>
    </w:p>
    <w:p w14:paraId="6CA629A1" w14:textId="77777777" w:rsidR="009E5744" w:rsidRDefault="009E5744" w:rsidP="009E5744">
      <w:pPr>
        <w:pStyle w:val="ListParagraph"/>
        <w:overflowPunct/>
        <w:autoSpaceDE/>
        <w:autoSpaceDN/>
        <w:adjustRightInd/>
        <w:spacing w:after="0"/>
        <w:ind w:left="1639"/>
        <w:contextualSpacing w:val="0"/>
        <w:textAlignment w:val="auto"/>
        <w:rPr>
          <w:rFonts w:eastAsia="MS PGothic" w:cs="Times"/>
          <w:b/>
          <w:bCs/>
          <w:lang w:val="en-US" w:eastAsia="ja-JP"/>
        </w:rPr>
      </w:pPr>
    </w:p>
    <w:p w14:paraId="3D97E971" w14:textId="77777777" w:rsidR="009E5744" w:rsidRPr="009F4C05" w:rsidRDefault="009E5744" w:rsidP="009E5744">
      <w:pPr>
        <w:ind w:left="2160"/>
      </w:pPr>
      <w:r>
        <w:rPr>
          <w:rFonts w:eastAsia="MS PGothic" w:cs="Times"/>
          <w:b/>
          <w:bCs/>
          <w:lang w:val="en-US" w:eastAsia="ja-JP"/>
        </w:rPr>
        <w:t>“</w:t>
      </w:r>
      <w:r w:rsidRPr="00563C40">
        <w:rPr>
          <w:i/>
          <w:iCs/>
        </w:rPr>
        <w:t>If a NB-IoT UE receives a NPDSCH transmission ending in subframe n,</w:t>
      </w:r>
      <w:r w:rsidRPr="00563C40">
        <w:rPr>
          <w:i/>
          <w:iCs/>
          <w:u w:val="single"/>
        </w:rPr>
        <w:t xml:space="preserve"> </w:t>
      </w:r>
      <w:r w:rsidRPr="00563C40">
        <w:rPr>
          <w:i/>
          <w:iCs/>
        </w:rPr>
        <w:t xml:space="preserve">and </w:t>
      </w:r>
      <w:r w:rsidRPr="00C94B2D">
        <w:rPr>
          <w:i/>
          <w:iCs/>
          <w:highlight w:val="green"/>
        </w:rPr>
        <w:t>if the UE is not required to transmit a corresponding NPUSCH format 2</w:t>
      </w:r>
      <w:r w:rsidRPr="00563C40">
        <w:rPr>
          <w:i/>
          <w:iCs/>
        </w:rPr>
        <w:t xml:space="preserve">, </w:t>
      </w:r>
      <w:r w:rsidRPr="00563C40">
        <w:rPr>
          <w:i/>
          <w:iCs/>
          <w:highlight w:val="green"/>
        </w:rPr>
        <w:t>the UE is not required to monitor NPDCCH in any subframe starting from subframe n+1 to subframe n+12</w:t>
      </w:r>
      <w:r w:rsidRPr="00563C40">
        <w:rPr>
          <w:i/>
          <w:iCs/>
        </w:rPr>
        <w:t>.</w:t>
      </w:r>
      <w:r w:rsidRPr="00563C40">
        <w:rPr>
          <w:rFonts w:eastAsia="MS PGothic" w:cs="Times"/>
          <w:b/>
          <w:bCs/>
          <w:i/>
          <w:iCs/>
          <w:lang w:val="en-US" w:eastAsia="ja-JP"/>
        </w:rPr>
        <w:t>”</w:t>
      </w:r>
    </w:p>
    <w:p w14:paraId="07E379E2" w14:textId="77777777" w:rsidR="009E5744" w:rsidRPr="00E4188F" w:rsidRDefault="009E5744" w:rsidP="009E5744">
      <w:pPr>
        <w:pStyle w:val="ListParagraph"/>
        <w:overflowPunct/>
        <w:autoSpaceDE/>
        <w:autoSpaceDN/>
        <w:adjustRightInd/>
        <w:spacing w:after="0"/>
        <w:ind w:left="1639"/>
        <w:contextualSpacing w:val="0"/>
        <w:textAlignment w:val="auto"/>
        <w:rPr>
          <w:rFonts w:eastAsia="MS PGothic" w:cs="Times"/>
          <w:b/>
          <w:bCs/>
          <w:lang w:val="en-US" w:eastAsia="ja-JP"/>
        </w:rPr>
      </w:pPr>
    </w:p>
    <w:p w14:paraId="3CC780CF" w14:textId="77777777" w:rsidR="009E5744" w:rsidRDefault="009E5744" w:rsidP="009E5744">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C: HARQ feedback for scheduling multiple TB</w:t>
      </w:r>
    </w:p>
    <w:p w14:paraId="4CA55765" w14:textId="77777777" w:rsidR="009E5744" w:rsidRPr="00E4188F" w:rsidRDefault="009E5744" w:rsidP="009E5744">
      <w:pPr>
        <w:pStyle w:val="ListParagraph"/>
        <w:overflowPunct/>
        <w:autoSpaceDE/>
        <w:autoSpaceDN/>
        <w:adjustRightInd/>
        <w:spacing w:after="0"/>
        <w:contextualSpacing w:val="0"/>
        <w:textAlignment w:val="auto"/>
        <w:rPr>
          <w:rFonts w:eastAsia="MS PGothic" w:cs="Times"/>
          <w:b/>
          <w:bCs/>
          <w:lang w:val="en-US" w:eastAsia="ja-JP"/>
        </w:rPr>
      </w:pPr>
    </w:p>
    <w:p w14:paraId="7E16A17E" w14:textId="77777777" w:rsidR="009E5744" w:rsidRPr="00DC3B95" w:rsidRDefault="009E5744" w:rsidP="009E5744">
      <w:pPr>
        <w:pStyle w:val="ListParagraph"/>
        <w:numPr>
          <w:ilvl w:val="1"/>
          <w:numId w:val="37"/>
        </w:numPr>
        <w:overflowPunct/>
        <w:autoSpaceDE/>
        <w:autoSpaceDN/>
        <w:adjustRightInd/>
        <w:spacing w:after="0"/>
        <w:contextualSpacing w:val="0"/>
        <w:textAlignment w:val="auto"/>
        <w:rPr>
          <w:rFonts w:eastAsia="MS PGothic" w:cs="Times"/>
          <w:b/>
          <w:bCs/>
          <w:color w:val="7030A0"/>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w:t>
      </w:r>
      <w:r>
        <w:rPr>
          <w:rFonts w:eastAsia="MS PGothic" w:cs="Times"/>
          <w:b/>
          <w:bCs/>
          <w:lang w:val="en-US" w:eastAsia="ja-JP"/>
        </w:rPr>
        <w:t xml:space="preserve"> </w:t>
      </w:r>
      <w:r w:rsidRPr="00997F6F">
        <w:rPr>
          <w:rFonts w:eastAsia="MS PGothic" w:cs="Times"/>
          <w:b/>
          <w:bCs/>
          <w:i/>
          <w:iCs/>
          <w:color w:val="7030A0"/>
          <w:lang w:val="en-US" w:eastAsia="ja-JP"/>
        </w:rPr>
        <w:t xml:space="preserve">This feature is unique to </w:t>
      </w:r>
      <w:proofErr w:type="spellStart"/>
      <w:r w:rsidRPr="00997F6F">
        <w:rPr>
          <w:rFonts w:eastAsia="MS PGothic" w:cs="Times"/>
          <w:b/>
          <w:bCs/>
          <w:i/>
          <w:iCs/>
          <w:color w:val="7030A0"/>
          <w:lang w:val="en-US" w:eastAsia="ja-JP"/>
        </w:rPr>
        <w:t>eMTC</w:t>
      </w:r>
      <w:proofErr w:type="spellEnd"/>
      <w:r w:rsidRPr="00997F6F">
        <w:rPr>
          <w:rFonts w:eastAsia="MS PGothic" w:cs="Times"/>
          <w:b/>
          <w:bCs/>
          <w:i/>
          <w:iCs/>
          <w:color w:val="7030A0"/>
          <w:lang w:val="en-US" w:eastAsia="ja-JP"/>
        </w:rPr>
        <w:t>/NB-IoT over NTN</w:t>
      </w:r>
      <w:r>
        <w:rPr>
          <w:rFonts w:eastAsia="MS PGothic" w:cs="Times"/>
          <w:b/>
          <w:bCs/>
          <w:i/>
          <w:iCs/>
          <w:color w:val="7030A0"/>
          <w:lang w:val="en-US" w:eastAsia="ja-JP"/>
        </w:rPr>
        <w:t xml:space="preserve"> (vis-à-vis NR-NTN)</w:t>
      </w:r>
      <w:r w:rsidRPr="00997F6F">
        <w:rPr>
          <w:rFonts w:eastAsia="MS PGothic" w:cs="Times"/>
          <w:b/>
          <w:bCs/>
          <w:i/>
          <w:iCs/>
          <w:color w:val="7030A0"/>
          <w:lang w:val="en-US" w:eastAsia="ja-JP"/>
        </w:rPr>
        <w:t xml:space="preserve">, and as described in Section 4 of this document, needs handling, w.r.t co-existence of feedback-enabled and feedback-disabled HARQ processes that may be scheduled by </w:t>
      </w:r>
      <w:r>
        <w:rPr>
          <w:rFonts w:eastAsia="MS PGothic" w:cs="Times"/>
          <w:b/>
          <w:bCs/>
          <w:i/>
          <w:iCs/>
          <w:color w:val="7030A0"/>
          <w:lang w:val="en-US" w:eastAsia="ja-JP"/>
        </w:rPr>
        <w:t>a</w:t>
      </w:r>
      <w:r w:rsidRPr="00997F6F">
        <w:rPr>
          <w:rFonts w:eastAsia="MS PGothic" w:cs="Times"/>
          <w:b/>
          <w:bCs/>
          <w:i/>
          <w:iCs/>
          <w:color w:val="7030A0"/>
          <w:lang w:val="en-US" w:eastAsia="ja-JP"/>
        </w:rPr>
        <w:t xml:space="preserve"> single DCI</w:t>
      </w:r>
    </w:p>
    <w:p w14:paraId="453E5CE1" w14:textId="77777777" w:rsidR="009E5744" w:rsidRPr="00997F6F" w:rsidRDefault="009E5744" w:rsidP="009E5744">
      <w:pPr>
        <w:pStyle w:val="ListParagraph"/>
        <w:overflowPunct/>
        <w:autoSpaceDE/>
        <w:autoSpaceDN/>
        <w:adjustRightInd/>
        <w:spacing w:after="0"/>
        <w:ind w:left="1639"/>
        <w:contextualSpacing w:val="0"/>
        <w:textAlignment w:val="auto"/>
        <w:rPr>
          <w:rFonts w:eastAsia="MS PGothic" w:cs="Times"/>
          <w:b/>
          <w:bCs/>
          <w:color w:val="7030A0"/>
          <w:lang w:val="en-US" w:eastAsia="ja-JP"/>
        </w:rPr>
      </w:pPr>
    </w:p>
    <w:p w14:paraId="047DF231" w14:textId="77777777" w:rsidR="009E5744" w:rsidRDefault="009E5744" w:rsidP="009E5744">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 xml:space="preserve">Issue D: HARQ bundling for </w:t>
      </w:r>
      <w:proofErr w:type="spellStart"/>
      <w:r w:rsidRPr="00E4188F">
        <w:rPr>
          <w:rFonts w:eastAsia="MS PGothic" w:cs="Times"/>
          <w:b/>
          <w:bCs/>
          <w:lang w:val="en-US" w:eastAsia="ja-JP"/>
        </w:rPr>
        <w:t>eMTC</w:t>
      </w:r>
      <w:proofErr w:type="spellEnd"/>
      <w:r w:rsidRPr="00E4188F">
        <w:rPr>
          <w:rFonts w:eastAsia="MS PGothic" w:cs="Times"/>
          <w:b/>
          <w:bCs/>
          <w:lang w:val="en-US" w:eastAsia="ja-JP"/>
        </w:rPr>
        <w:t xml:space="preserve"> HD-FDD</w:t>
      </w:r>
    </w:p>
    <w:p w14:paraId="6EC0FC18" w14:textId="77777777" w:rsidR="009E5744" w:rsidRPr="00E4188F" w:rsidRDefault="009E5744" w:rsidP="009E5744">
      <w:pPr>
        <w:pStyle w:val="ListParagraph"/>
        <w:overflowPunct/>
        <w:autoSpaceDE/>
        <w:autoSpaceDN/>
        <w:adjustRightInd/>
        <w:spacing w:after="0"/>
        <w:contextualSpacing w:val="0"/>
        <w:textAlignment w:val="auto"/>
        <w:rPr>
          <w:rFonts w:eastAsia="MS PGothic" w:cs="Times"/>
          <w:b/>
          <w:bCs/>
          <w:lang w:val="en-US" w:eastAsia="ja-JP"/>
        </w:rPr>
      </w:pPr>
    </w:p>
    <w:p w14:paraId="7C940AB1" w14:textId="77777777" w:rsidR="009E5744" w:rsidRDefault="009E5744" w:rsidP="009E5744">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w:t>
      </w:r>
      <w:r>
        <w:rPr>
          <w:rFonts w:eastAsia="MS PGothic" w:cs="Times"/>
          <w:b/>
          <w:bCs/>
          <w:lang w:val="en-US" w:eastAsia="ja-JP"/>
        </w:rPr>
        <w:t xml:space="preserve"> </w:t>
      </w:r>
      <w:r w:rsidRPr="00997F6F">
        <w:rPr>
          <w:rFonts w:eastAsia="MS PGothic" w:cs="Times"/>
          <w:b/>
          <w:bCs/>
          <w:color w:val="7030A0"/>
          <w:lang w:val="en-US" w:eastAsia="ja-JP"/>
        </w:rPr>
        <w:t xml:space="preserve">In Section 7.3.1 of TS 36.213, the following </w:t>
      </w:r>
      <w:r>
        <w:rPr>
          <w:rFonts w:eastAsia="MS PGothic" w:cs="Times"/>
          <w:b/>
          <w:bCs/>
          <w:color w:val="7030A0"/>
          <w:lang w:val="en-US" w:eastAsia="ja-JP"/>
        </w:rPr>
        <w:t xml:space="preserve">text </w:t>
      </w:r>
      <w:r w:rsidRPr="00997F6F">
        <w:rPr>
          <w:rFonts w:eastAsia="MS PGothic" w:cs="Times"/>
          <w:b/>
          <w:bCs/>
          <w:color w:val="7030A0"/>
          <w:lang w:val="en-US" w:eastAsia="ja-JP"/>
        </w:rPr>
        <w:t>is written:</w:t>
      </w:r>
    </w:p>
    <w:p w14:paraId="566B30BF" w14:textId="77777777" w:rsidR="009E5744" w:rsidRDefault="009E5744" w:rsidP="009E5744">
      <w:pPr>
        <w:pStyle w:val="ListParagraph"/>
        <w:overflowPunct/>
        <w:autoSpaceDE/>
        <w:autoSpaceDN/>
        <w:adjustRightInd/>
        <w:spacing w:after="0"/>
        <w:ind w:left="1639"/>
        <w:contextualSpacing w:val="0"/>
        <w:textAlignment w:val="auto"/>
        <w:rPr>
          <w:rFonts w:eastAsia="MS PGothic" w:cs="Times"/>
          <w:b/>
          <w:bCs/>
          <w:lang w:val="en-US" w:eastAsia="ja-JP"/>
        </w:rPr>
      </w:pPr>
    </w:p>
    <w:p w14:paraId="6939E062" w14:textId="77777777" w:rsidR="009E5744" w:rsidRPr="00BD1818" w:rsidRDefault="009E5744" w:rsidP="009E5744">
      <w:pPr>
        <w:ind w:left="1219"/>
        <w:rPr>
          <w:rFonts w:eastAsia="SimSun"/>
          <w:i/>
          <w:iCs/>
          <w:lang w:eastAsia="zh-CN"/>
        </w:rPr>
      </w:pPr>
      <w:r>
        <w:rPr>
          <w:rFonts w:eastAsia="SimSun"/>
          <w:i/>
          <w:iCs/>
          <w:lang w:eastAsia="zh-CN"/>
        </w:rPr>
        <w:t>“</w:t>
      </w:r>
      <w:r w:rsidRPr="00BD1818">
        <w:rPr>
          <w:rFonts w:eastAsia="SimSun"/>
          <w:i/>
          <w:iCs/>
          <w:lang w:eastAsia="zh-CN"/>
        </w:rPr>
        <w:t xml:space="preserve">For a BL/CE UE in half-duplex FDD operation, if the UE is configured with </w:t>
      </w:r>
      <w:proofErr w:type="spellStart"/>
      <w:r w:rsidRPr="00BD1818">
        <w:rPr>
          <w:rFonts w:eastAsia="SimSun"/>
          <w:i/>
          <w:iCs/>
          <w:lang w:eastAsia="zh-CN"/>
        </w:rPr>
        <w:t>CEModeA</w:t>
      </w:r>
      <w:proofErr w:type="spellEnd"/>
      <w:r w:rsidRPr="00BD1818">
        <w:rPr>
          <w:rFonts w:eastAsia="SimSun"/>
          <w:i/>
          <w:iCs/>
          <w:lang w:eastAsia="zh-CN"/>
        </w:rPr>
        <w:t xml:space="preserve">, and if the UE is configured with higher layer parameter </w:t>
      </w:r>
      <w:proofErr w:type="spellStart"/>
      <w:r w:rsidRPr="00BD1818">
        <w:rPr>
          <w:i/>
          <w:iCs/>
          <w:lang w:eastAsia="zh-CN"/>
        </w:rPr>
        <w:t>ce</w:t>
      </w:r>
      <w:proofErr w:type="spellEnd"/>
      <w:r w:rsidRPr="00BD1818">
        <w:rPr>
          <w:i/>
          <w:iCs/>
          <w:lang w:eastAsia="zh-CN"/>
        </w:rPr>
        <w:t>-HARQ-</w:t>
      </w:r>
      <w:proofErr w:type="spellStart"/>
      <w:r w:rsidRPr="00BD1818">
        <w:rPr>
          <w:i/>
          <w:iCs/>
          <w:lang w:eastAsia="zh-CN"/>
        </w:rPr>
        <w:t>AckBundling</w:t>
      </w:r>
      <w:proofErr w:type="spellEnd"/>
      <w:r w:rsidRPr="00BD1818">
        <w:rPr>
          <w:i/>
          <w:iCs/>
          <w:lang w:eastAsia="zh-CN"/>
        </w:rPr>
        <w:t xml:space="preserve"> </w:t>
      </w:r>
      <w:r w:rsidRPr="00FF133F">
        <w:rPr>
          <w:rFonts w:hint="eastAsia"/>
          <w:i/>
          <w:iCs/>
          <w:highlight w:val="yellow"/>
          <w:lang w:eastAsia="zh-CN"/>
        </w:rPr>
        <w:t xml:space="preserve">and </w:t>
      </w:r>
      <w:r w:rsidRPr="00FF133F">
        <w:rPr>
          <w:i/>
          <w:iCs/>
          <w:highlight w:val="yellow"/>
          <w:lang w:eastAsia="zh-CN"/>
        </w:rPr>
        <w:t>the 'HARQ-ACK bundling flag' in the corresponding DCI is set to 1</w:t>
      </w:r>
      <w:r w:rsidRPr="00BD1818">
        <w:rPr>
          <w:rFonts w:eastAsia="SimSun"/>
          <w:i/>
          <w:iCs/>
          <w:lang w:eastAsia="zh-CN"/>
        </w:rPr>
        <w:t>.</w:t>
      </w:r>
    </w:p>
    <w:p w14:paraId="6C61F700" w14:textId="77777777" w:rsidR="009E5744" w:rsidRPr="00BD1818" w:rsidRDefault="009E5744" w:rsidP="009E5744">
      <w:pPr>
        <w:pStyle w:val="B1"/>
        <w:ind w:left="1639" w:firstLine="0"/>
        <w:rPr>
          <w:rFonts w:eastAsia="SimSun"/>
          <w:i/>
          <w:iCs/>
          <w:lang w:eastAsia="zh-CN"/>
        </w:rPr>
      </w:pPr>
      <w:r w:rsidRPr="00BD1818">
        <w:rPr>
          <w:rFonts w:eastAsia="SimSun"/>
          <w:i/>
          <w:iCs/>
          <w:lang w:eastAsia="zh-CN"/>
        </w:rPr>
        <w:t xml:space="preserve">- for HARQ-ACK transmission in subframe n, </w:t>
      </w:r>
      <w:r w:rsidRPr="00BD1818">
        <w:rPr>
          <w:i/>
          <w:iCs/>
          <w:lang w:val="en-US"/>
        </w:rPr>
        <w:t xml:space="preserve">the UE shall generate one HARQ-ACK bit by performing a logical AND operation of HARQ-ACKs </w:t>
      </w:r>
      <w:r w:rsidRPr="00BD1818">
        <w:rPr>
          <w:i/>
          <w:iCs/>
        </w:rPr>
        <w:t xml:space="preserve">across all </w:t>
      </w:r>
      <w:r w:rsidRPr="00BD1818">
        <w:rPr>
          <w:i/>
          <w:iCs/>
          <w:noProof/>
          <w:position w:val="-4"/>
        </w:rPr>
        <w:drawing>
          <wp:inline distT="0" distB="0" distL="0" distR="0" wp14:anchorId="3B8B6400" wp14:editId="6D882EBC">
            <wp:extent cx="599440" cy="1543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440" cy="154305"/>
                    </a:xfrm>
                    <a:prstGeom prst="rect">
                      <a:avLst/>
                    </a:prstGeom>
                    <a:noFill/>
                    <a:ln>
                      <a:noFill/>
                    </a:ln>
                  </pic:spPr>
                </pic:pic>
              </a:graphicData>
            </a:graphic>
          </wp:inline>
        </w:drawing>
      </w:r>
      <w:r w:rsidRPr="00BD1818">
        <w:rPr>
          <w:i/>
          <w:iCs/>
        </w:rPr>
        <w:t xml:space="preserve"> BL/CE DL subframes </w:t>
      </w:r>
      <w:r w:rsidRPr="002825F3">
        <w:rPr>
          <w:rFonts w:eastAsia="SimSun"/>
          <w:i/>
          <w:iCs/>
          <w:highlight w:val="cyan"/>
          <w:lang w:eastAsia="zh-CN"/>
        </w:rPr>
        <w:t>for which subframe n is the 'HARQ-ACK transmission subframe'</w:t>
      </w:r>
      <w:r w:rsidRPr="00BD1818">
        <w:rPr>
          <w:rFonts w:eastAsia="SimSun"/>
          <w:i/>
          <w:iCs/>
          <w:lang w:eastAsia="zh-CN"/>
        </w:rPr>
        <w:t>.</w:t>
      </w:r>
      <w:r>
        <w:rPr>
          <w:rFonts w:eastAsia="SimSun"/>
          <w:i/>
          <w:iCs/>
          <w:lang w:eastAsia="zh-CN"/>
        </w:rPr>
        <w:t>”</w:t>
      </w:r>
      <w:r w:rsidRPr="00BD1818">
        <w:rPr>
          <w:rFonts w:eastAsia="SimSun"/>
          <w:i/>
          <w:iCs/>
          <w:lang w:eastAsia="zh-CN"/>
        </w:rPr>
        <w:t xml:space="preserve"> </w:t>
      </w:r>
    </w:p>
    <w:p w14:paraId="054DAE52" w14:textId="77777777" w:rsidR="009E5744" w:rsidRPr="00997F6F" w:rsidRDefault="009E5744" w:rsidP="009E5744">
      <w:pPr>
        <w:spacing w:after="0"/>
        <w:ind w:left="1440"/>
        <w:rPr>
          <w:rFonts w:eastAsia="MS PGothic" w:cs="Times"/>
          <w:b/>
          <w:bCs/>
          <w:color w:val="7030A0"/>
          <w:lang w:val="en-US" w:eastAsia="ja-JP"/>
        </w:rPr>
      </w:pPr>
      <w:r w:rsidRPr="00997F6F">
        <w:rPr>
          <w:rFonts w:eastAsia="MS PGothic" w:cs="Times"/>
          <w:b/>
          <w:bCs/>
          <w:color w:val="7030A0"/>
          <w:lang w:val="en-US" w:eastAsia="ja-JP"/>
        </w:rPr>
        <w:t>Since a feedback-disabled HARQ process will set</w:t>
      </w:r>
      <w:r w:rsidRPr="00FF133F">
        <w:rPr>
          <w:rFonts w:eastAsia="MS PGothic" w:cs="Times"/>
          <w:b/>
          <w:bCs/>
          <w:color w:val="7030A0"/>
          <w:highlight w:val="yellow"/>
          <w:lang w:val="en-US" w:eastAsia="ja-JP"/>
        </w:rPr>
        <w:t xml:space="preserve"> the ‘HARQ-ACK bundling flag’ in the corresponding DCI to 0</w:t>
      </w:r>
      <w:r w:rsidRPr="00997F6F">
        <w:rPr>
          <w:rFonts w:eastAsia="MS PGothic" w:cs="Times"/>
          <w:b/>
          <w:bCs/>
          <w:color w:val="7030A0"/>
          <w:lang w:val="en-US" w:eastAsia="ja-JP"/>
        </w:rPr>
        <w:t xml:space="preserve">, </w:t>
      </w:r>
      <w:r>
        <w:rPr>
          <w:rFonts w:eastAsia="MS PGothic" w:cs="Times"/>
          <w:b/>
          <w:bCs/>
          <w:color w:val="7030A0"/>
          <w:lang w:val="en-US" w:eastAsia="ja-JP"/>
        </w:rPr>
        <w:t xml:space="preserve">and there will be </w:t>
      </w:r>
      <w:r w:rsidRPr="002825F3">
        <w:rPr>
          <w:rFonts w:eastAsia="MS PGothic" w:cs="Times"/>
          <w:b/>
          <w:bCs/>
          <w:color w:val="7030A0"/>
          <w:highlight w:val="cyan"/>
          <w:lang w:val="en-US" w:eastAsia="ja-JP"/>
        </w:rPr>
        <w:t>no ‘HARQ-ACK transmission subframe’</w:t>
      </w:r>
      <w:r>
        <w:rPr>
          <w:rFonts w:eastAsia="MS PGothic" w:cs="Times"/>
          <w:b/>
          <w:bCs/>
          <w:color w:val="7030A0"/>
          <w:lang w:val="en-US" w:eastAsia="ja-JP"/>
        </w:rPr>
        <w:t xml:space="preserve">, </w:t>
      </w:r>
      <w:r w:rsidRPr="00997F6F">
        <w:rPr>
          <w:rFonts w:eastAsia="MS PGothic" w:cs="Times"/>
          <w:b/>
          <w:bCs/>
          <w:color w:val="7030A0"/>
          <w:lang w:val="en-US" w:eastAsia="ja-JP"/>
        </w:rPr>
        <w:t xml:space="preserve">these </w:t>
      </w:r>
      <w:r w:rsidRPr="00997F6F">
        <w:rPr>
          <w:rFonts w:eastAsia="MS PGothic" w:cs="Times"/>
          <w:b/>
          <w:bCs/>
          <w:color w:val="7030A0"/>
          <w:lang w:val="en-US" w:eastAsia="ja-JP"/>
        </w:rPr>
        <w:lastRenderedPageBreak/>
        <w:t xml:space="preserve">HARQ processes will have no impact on the feedback bit to be generated. No change to the current specifications </w:t>
      </w:r>
      <w:r>
        <w:rPr>
          <w:rFonts w:eastAsia="MS PGothic" w:cs="Times"/>
          <w:b/>
          <w:bCs/>
          <w:color w:val="7030A0"/>
          <w:lang w:val="en-US" w:eastAsia="ja-JP"/>
        </w:rPr>
        <w:t>is required to handle</w:t>
      </w:r>
      <w:r w:rsidRPr="00997F6F">
        <w:rPr>
          <w:rFonts w:eastAsia="MS PGothic" w:cs="Times"/>
          <w:b/>
          <w:bCs/>
          <w:color w:val="7030A0"/>
          <w:lang w:val="en-US" w:eastAsia="ja-JP"/>
        </w:rPr>
        <w:t xml:space="preserve"> this issue</w:t>
      </w:r>
      <w:r>
        <w:rPr>
          <w:rFonts w:eastAsia="MS PGothic" w:cs="Times"/>
          <w:b/>
          <w:bCs/>
          <w:color w:val="7030A0"/>
          <w:lang w:val="en-US" w:eastAsia="ja-JP"/>
        </w:rPr>
        <w:t>.</w:t>
      </w:r>
    </w:p>
    <w:p w14:paraId="102521E2" w14:textId="77777777" w:rsidR="009E5744" w:rsidRPr="00B0334F" w:rsidRDefault="009E5744" w:rsidP="009E5744">
      <w:pPr>
        <w:spacing w:after="0"/>
        <w:ind w:left="1440"/>
        <w:rPr>
          <w:rFonts w:eastAsia="MS PGothic" w:cs="Times"/>
          <w:b/>
          <w:bCs/>
          <w:lang w:val="en-US" w:eastAsia="ja-JP"/>
        </w:rPr>
      </w:pPr>
    </w:p>
    <w:p w14:paraId="7B91A760" w14:textId="77777777" w:rsidR="009E5744" w:rsidRDefault="009E5744" w:rsidP="009E5744">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F: NPRACH capacity</w:t>
      </w:r>
    </w:p>
    <w:p w14:paraId="1DCF0AA2" w14:textId="77777777" w:rsidR="009E5744" w:rsidRPr="00E4188F" w:rsidRDefault="009E5744" w:rsidP="009E5744">
      <w:pPr>
        <w:pStyle w:val="ListParagraph"/>
        <w:overflowPunct/>
        <w:autoSpaceDE/>
        <w:autoSpaceDN/>
        <w:adjustRightInd/>
        <w:spacing w:after="0"/>
        <w:contextualSpacing w:val="0"/>
        <w:textAlignment w:val="auto"/>
        <w:rPr>
          <w:rFonts w:eastAsia="MS PGothic" w:cs="Times"/>
          <w:b/>
          <w:bCs/>
          <w:lang w:val="en-US" w:eastAsia="ja-JP"/>
        </w:rPr>
      </w:pPr>
    </w:p>
    <w:p w14:paraId="2AD7ACF7" w14:textId="77777777" w:rsidR="009E5744" w:rsidRDefault="009E5744" w:rsidP="009E5744">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w:t>
      </w:r>
      <w:r>
        <w:rPr>
          <w:rFonts w:eastAsia="MS PGothic" w:cs="Times"/>
          <w:b/>
          <w:bCs/>
          <w:lang w:val="en-US" w:eastAsia="ja-JP"/>
        </w:rPr>
        <w:t xml:space="preserve"> </w:t>
      </w:r>
      <w:r w:rsidRPr="005466F8">
        <w:rPr>
          <w:rFonts w:eastAsia="MS PGothic" w:cs="Times"/>
          <w:b/>
          <w:bCs/>
          <w:color w:val="7030A0"/>
          <w:lang w:val="en-US" w:eastAsia="ja-JP"/>
        </w:rPr>
        <w:t>This issue should be de-prioritized</w:t>
      </w:r>
      <w:r>
        <w:rPr>
          <w:rFonts w:eastAsia="MS PGothic" w:cs="Times"/>
          <w:b/>
          <w:bCs/>
          <w:color w:val="7030A0"/>
          <w:lang w:val="en-US" w:eastAsia="ja-JP"/>
        </w:rPr>
        <w:t>.</w:t>
      </w:r>
    </w:p>
    <w:p w14:paraId="2F13377A" w14:textId="77777777" w:rsidR="009E5744" w:rsidRPr="00E4188F" w:rsidRDefault="009E5744" w:rsidP="009E5744">
      <w:pPr>
        <w:pStyle w:val="ListParagraph"/>
        <w:overflowPunct/>
        <w:autoSpaceDE/>
        <w:autoSpaceDN/>
        <w:adjustRightInd/>
        <w:spacing w:after="0"/>
        <w:ind w:left="1639"/>
        <w:contextualSpacing w:val="0"/>
        <w:textAlignment w:val="auto"/>
        <w:rPr>
          <w:rFonts w:eastAsia="MS PGothic" w:cs="Times"/>
          <w:b/>
          <w:bCs/>
          <w:lang w:val="en-US" w:eastAsia="ja-JP"/>
        </w:rPr>
      </w:pPr>
    </w:p>
    <w:p w14:paraId="0F44228F" w14:textId="77777777" w:rsidR="009E5744" w:rsidRDefault="009E5744" w:rsidP="009E5744">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 xml:space="preserve">Issue G: Serving cell/satellite change during data transfer (FFS: for </w:t>
      </w:r>
      <w:proofErr w:type="spellStart"/>
      <w:r w:rsidRPr="00E4188F">
        <w:rPr>
          <w:rFonts w:eastAsia="MS PGothic" w:cs="Times"/>
          <w:b/>
          <w:bCs/>
          <w:lang w:val="en-US" w:eastAsia="ja-JP"/>
        </w:rPr>
        <w:t>eMTC</w:t>
      </w:r>
      <w:proofErr w:type="spellEnd"/>
      <w:r w:rsidRPr="00E4188F">
        <w:rPr>
          <w:rFonts w:eastAsia="MS PGothic" w:cs="Times"/>
          <w:b/>
          <w:bCs/>
          <w:lang w:val="en-US" w:eastAsia="ja-JP"/>
        </w:rPr>
        <w:t xml:space="preserve"> and/or NB-IoT)</w:t>
      </w:r>
    </w:p>
    <w:p w14:paraId="43EE7641" w14:textId="77777777" w:rsidR="009E5744" w:rsidRPr="00E4188F" w:rsidRDefault="009E5744" w:rsidP="009E5744">
      <w:pPr>
        <w:pStyle w:val="ListParagraph"/>
        <w:overflowPunct/>
        <w:autoSpaceDE/>
        <w:autoSpaceDN/>
        <w:adjustRightInd/>
        <w:spacing w:after="0"/>
        <w:contextualSpacing w:val="0"/>
        <w:textAlignment w:val="auto"/>
        <w:rPr>
          <w:rFonts w:eastAsia="MS PGothic" w:cs="Times"/>
          <w:b/>
          <w:bCs/>
          <w:lang w:val="en-US" w:eastAsia="ja-JP"/>
        </w:rPr>
      </w:pPr>
    </w:p>
    <w:p w14:paraId="7F81415F" w14:textId="30BCE346" w:rsidR="00B533DE" w:rsidRPr="009E5744" w:rsidRDefault="009E5744" w:rsidP="00B734B4">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 xml:space="preserve">: </w:t>
      </w:r>
      <w:r w:rsidRPr="005466F8">
        <w:rPr>
          <w:rFonts w:eastAsia="MS PGothic" w:cs="Times"/>
          <w:b/>
          <w:bCs/>
          <w:color w:val="7030A0"/>
          <w:lang w:val="en-US" w:eastAsia="ja-JP"/>
        </w:rPr>
        <w:t xml:space="preserve">This issue </w:t>
      </w:r>
      <w:r>
        <w:rPr>
          <w:rFonts w:eastAsia="MS PGothic" w:cs="Times"/>
          <w:b/>
          <w:bCs/>
          <w:color w:val="7030A0"/>
          <w:lang w:val="en-US" w:eastAsia="ja-JP"/>
        </w:rPr>
        <w:t>is not related to feedback enabling/</w:t>
      </w:r>
      <w:r w:rsidR="00FD247D">
        <w:rPr>
          <w:rFonts w:eastAsia="MS PGothic" w:cs="Times"/>
          <w:b/>
          <w:bCs/>
          <w:color w:val="7030A0"/>
          <w:lang w:val="en-US" w:eastAsia="ja-JP"/>
        </w:rPr>
        <w:t>disabling and</w:t>
      </w:r>
      <w:r>
        <w:rPr>
          <w:rFonts w:eastAsia="MS PGothic" w:cs="Times"/>
          <w:b/>
          <w:bCs/>
          <w:color w:val="7030A0"/>
          <w:lang w:val="en-US" w:eastAsia="ja-JP"/>
        </w:rPr>
        <w:t xml:space="preserve"> </w:t>
      </w:r>
      <w:r w:rsidRPr="005466F8">
        <w:rPr>
          <w:rFonts w:eastAsia="MS PGothic" w:cs="Times"/>
          <w:b/>
          <w:bCs/>
          <w:color w:val="7030A0"/>
          <w:lang w:val="en-US" w:eastAsia="ja-JP"/>
        </w:rPr>
        <w:t>should be de-prioritized</w:t>
      </w:r>
      <w:r>
        <w:rPr>
          <w:rFonts w:eastAsia="MS PGothic" w:cs="Times"/>
          <w:b/>
          <w:bCs/>
          <w:color w:val="7030A0"/>
          <w:lang w:val="en-US" w:eastAsia="ja-JP"/>
        </w:rPr>
        <w:t>.</w:t>
      </w:r>
    </w:p>
    <w:sectPr w:rsidR="00B533DE" w:rsidRPr="009E5744" w:rsidSect="00717CC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E717F" w14:textId="77777777" w:rsidR="00D20DA8" w:rsidRDefault="00D20DA8">
      <w:pPr>
        <w:spacing w:after="0"/>
      </w:pPr>
      <w:r>
        <w:separator/>
      </w:r>
    </w:p>
  </w:endnote>
  <w:endnote w:type="continuationSeparator" w:id="0">
    <w:p w14:paraId="0B1C4421" w14:textId="77777777" w:rsidR="00D20DA8" w:rsidRDefault="00D20DA8">
      <w:pPr>
        <w:spacing w:after="0"/>
      </w:pPr>
      <w:r>
        <w:continuationSeparator/>
      </w:r>
    </w:p>
  </w:endnote>
  <w:endnote w:type="continuationNotice" w:id="1">
    <w:p w14:paraId="63D80B7A" w14:textId="77777777" w:rsidR="00D20DA8" w:rsidRDefault="00D20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78624" w14:textId="77777777" w:rsidR="00D20DA8" w:rsidRDefault="00D20DA8">
      <w:pPr>
        <w:spacing w:after="0"/>
      </w:pPr>
      <w:r>
        <w:separator/>
      </w:r>
    </w:p>
  </w:footnote>
  <w:footnote w:type="continuationSeparator" w:id="0">
    <w:p w14:paraId="6E97944D" w14:textId="77777777" w:rsidR="00D20DA8" w:rsidRDefault="00D20DA8">
      <w:pPr>
        <w:spacing w:after="0"/>
      </w:pPr>
      <w:r>
        <w:continuationSeparator/>
      </w:r>
    </w:p>
  </w:footnote>
  <w:footnote w:type="continuationNotice" w:id="1">
    <w:p w14:paraId="3ED27C57" w14:textId="77777777" w:rsidR="00D20DA8" w:rsidRDefault="00D20D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E240274"/>
    <w:multiLevelType w:val="hybridMultilevel"/>
    <w:tmpl w:val="639A6CB0"/>
    <w:lvl w:ilvl="0" w:tplc="02245F66">
      <w:numFmt w:val="bullet"/>
      <w:lvlText w:val="-"/>
      <w:lvlJc w:val="left"/>
      <w:pPr>
        <w:ind w:left="720" w:hanging="360"/>
      </w:pPr>
      <w:rPr>
        <w:rFonts w:ascii="Times New Roman" w:eastAsia="Times New Roman" w:hAnsi="Times New Roman" w:cs="Times New Roman" w:hint="default"/>
        <w:b/>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50353C"/>
    <w:multiLevelType w:val="hybridMultilevel"/>
    <w:tmpl w:val="17266052"/>
    <w:lvl w:ilvl="0" w:tplc="C2245AA0">
      <w:start w:val="1"/>
      <w:numFmt w:val="bullet"/>
      <w:lvlText w:val="•"/>
      <w:lvlJc w:val="left"/>
      <w:pPr>
        <w:tabs>
          <w:tab w:val="num" w:pos="720"/>
        </w:tabs>
        <w:ind w:left="720" w:hanging="360"/>
      </w:pPr>
      <w:rPr>
        <w:rFonts w:ascii="Arial" w:hAnsi="Arial" w:hint="default"/>
      </w:rPr>
    </w:lvl>
    <w:lvl w:ilvl="1" w:tplc="29D88D16" w:tentative="1">
      <w:start w:val="1"/>
      <w:numFmt w:val="bullet"/>
      <w:lvlText w:val="•"/>
      <w:lvlJc w:val="left"/>
      <w:pPr>
        <w:tabs>
          <w:tab w:val="num" w:pos="1440"/>
        </w:tabs>
        <w:ind w:left="1440" w:hanging="360"/>
      </w:pPr>
      <w:rPr>
        <w:rFonts w:ascii="Arial" w:hAnsi="Arial" w:hint="default"/>
      </w:rPr>
    </w:lvl>
    <w:lvl w:ilvl="2" w:tplc="F2B0DC28" w:tentative="1">
      <w:start w:val="1"/>
      <w:numFmt w:val="bullet"/>
      <w:lvlText w:val="•"/>
      <w:lvlJc w:val="left"/>
      <w:pPr>
        <w:tabs>
          <w:tab w:val="num" w:pos="2160"/>
        </w:tabs>
        <w:ind w:left="2160" w:hanging="360"/>
      </w:pPr>
      <w:rPr>
        <w:rFonts w:ascii="Arial" w:hAnsi="Arial" w:hint="default"/>
      </w:rPr>
    </w:lvl>
    <w:lvl w:ilvl="3" w:tplc="AF282D02" w:tentative="1">
      <w:start w:val="1"/>
      <w:numFmt w:val="bullet"/>
      <w:lvlText w:val="•"/>
      <w:lvlJc w:val="left"/>
      <w:pPr>
        <w:tabs>
          <w:tab w:val="num" w:pos="2880"/>
        </w:tabs>
        <w:ind w:left="2880" w:hanging="360"/>
      </w:pPr>
      <w:rPr>
        <w:rFonts w:ascii="Arial" w:hAnsi="Arial" w:hint="default"/>
      </w:rPr>
    </w:lvl>
    <w:lvl w:ilvl="4" w:tplc="288CFBD4" w:tentative="1">
      <w:start w:val="1"/>
      <w:numFmt w:val="bullet"/>
      <w:lvlText w:val="•"/>
      <w:lvlJc w:val="left"/>
      <w:pPr>
        <w:tabs>
          <w:tab w:val="num" w:pos="3600"/>
        </w:tabs>
        <w:ind w:left="3600" w:hanging="360"/>
      </w:pPr>
      <w:rPr>
        <w:rFonts w:ascii="Arial" w:hAnsi="Arial" w:hint="default"/>
      </w:rPr>
    </w:lvl>
    <w:lvl w:ilvl="5" w:tplc="C070403C" w:tentative="1">
      <w:start w:val="1"/>
      <w:numFmt w:val="bullet"/>
      <w:lvlText w:val="•"/>
      <w:lvlJc w:val="left"/>
      <w:pPr>
        <w:tabs>
          <w:tab w:val="num" w:pos="4320"/>
        </w:tabs>
        <w:ind w:left="4320" w:hanging="360"/>
      </w:pPr>
      <w:rPr>
        <w:rFonts w:ascii="Arial" w:hAnsi="Arial" w:hint="default"/>
      </w:rPr>
    </w:lvl>
    <w:lvl w:ilvl="6" w:tplc="A998CCD6" w:tentative="1">
      <w:start w:val="1"/>
      <w:numFmt w:val="bullet"/>
      <w:lvlText w:val="•"/>
      <w:lvlJc w:val="left"/>
      <w:pPr>
        <w:tabs>
          <w:tab w:val="num" w:pos="5040"/>
        </w:tabs>
        <w:ind w:left="5040" w:hanging="360"/>
      </w:pPr>
      <w:rPr>
        <w:rFonts w:ascii="Arial" w:hAnsi="Arial" w:hint="default"/>
      </w:rPr>
    </w:lvl>
    <w:lvl w:ilvl="7" w:tplc="B66019A4" w:tentative="1">
      <w:start w:val="1"/>
      <w:numFmt w:val="bullet"/>
      <w:lvlText w:val="•"/>
      <w:lvlJc w:val="left"/>
      <w:pPr>
        <w:tabs>
          <w:tab w:val="num" w:pos="5760"/>
        </w:tabs>
        <w:ind w:left="5760" w:hanging="360"/>
      </w:pPr>
      <w:rPr>
        <w:rFonts w:ascii="Arial" w:hAnsi="Arial" w:hint="default"/>
      </w:rPr>
    </w:lvl>
    <w:lvl w:ilvl="8" w:tplc="F9D069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14C31"/>
    <w:multiLevelType w:val="hybridMultilevel"/>
    <w:tmpl w:val="BA749720"/>
    <w:lvl w:ilvl="0" w:tplc="02D61DB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429470548">
    <w:abstractNumId w:val="2"/>
  </w:num>
  <w:num w:numId="2" w16cid:durableId="544827532">
    <w:abstractNumId w:val="36"/>
  </w:num>
  <w:num w:numId="3" w16cid:durableId="962419386">
    <w:abstractNumId w:val="29"/>
  </w:num>
  <w:num w:numId="4" w16cid:durableId="1256091752">
    <w:abstractNumId w:val="34"/>
  </w:num>
  <w:num w:numId="5" w16cid:durableId="507065490">
    <w:abstractNumId w:val="1"/>
  </w:num>
  <w:num w:numId="6" w16cid:durableId="2042587563">
    <w:abstractNumId w:val="8"/>
  </w:num>
  <w:num w:numId="7" w16cid:durableId="641227632">
    <w:abstractNumId w:val="20"/>
  </w:num>
  <w:num w:numId="8" w16cid:durableId="323827705">
    <w:abstractNumId w:val="11"/>
  </w:num>
  <w:num w:numId="9" w16cid:durableId="1707295013">
    <w:abstractNumId w:val="0"/>
  </w:num>
  <w:num w:numId="10" w16cid:durableId="1749418013">
    <w:abstractNumId w:val="25"/>
  </w:num>
  <w:num w:numId="11" w16cid:durableId="1311247789">
    <w:abstractNumId w:val="18"/>
  </w:num>
  <w:num w:numId="12" w16cid:durableId="1349327407">
    <w:abstractNumId w:val="19"/>
  </w:num>
  <w:num w:numId="13" w16cid:durableId="202404507">
    <w:abstractNumId w:val="26"/>
  </w:num>
  <w:num w:numId="14" w16cid:durableId="1156143014">
    <w:abstractNumId w:val="3"/>
  </w:num>
  <w:num w:numId="15" w16cid:durableId="1754234757">
    <w:abstractNumId w:val="33"/>
  </w:num>
  <w:num w:numId="16" w16cid:durableId="206070648">
    <w:abstractNumId w:val="17"/>
  </w:num>
  <w:num w:numId="17" w16cid:durableId="1026296410">
    <w:abstractNumId w:val="24"/>
  </w:num>
  <w:num w:numId="18" w16cid:durableId="1802192265">
    <w:abstractNumId w:val="35"/>
  </w:num>
  <w:num w:numId="19" w16cid:durableId="219218258">
    <w:abstractNumId w:val="32"/>
  </w:num>
  <w:num w:numId="20" w16cid:durableId="693965717">
    <w:abstractNumId w:val="21"/>
  </w:num>
  <w:num w:numId="21" w16cid:durableId="1942906536">
    <w:abstractNumId w:val="31"/>
  </w:num>
  <w:num w:numId="22" w16cid:durableId="1651129837">
    <w:abstractNumId w:val="10"/>
  </w:num>
  <w:num w:numId="23" w16cid:durableId="1230270028">
    <w:abstractNumId w:val="13"/>
  </w:num>
  <w:num w:numId="24" w16cid:durableId="1886747285">
    <w:abstractNumId w:val="12"/>
  </w:num>
  <w:num w:numId="25" w16cid:durableId="465314344">
    <w:abstractNumId w:val="22"/>
  </w:num>
  <w:num w:numId="26" w16cid:durableId="579173875">
    <w:abstractNumId w:val="5"/>
  </w:num>
  <w:num w:numId="27" w16cid:durableId="1527937615">
    <w:abstractNumId w:val="30"/>
  </w:num>
  <w:num w:numId="28" w16cid:durableId="1666319504">
    <w:abstractNumId w:val="23"/>
  </w:num>
  <w:num w:numId="29" w16cid:durableId="729154222">
    <w:abstractNumId w:val="4"/>
  </w:num>
  <w:num w:numId="30" w16cid:durableId="1174491094">
    <w:abstractNumId w:val="16"/>
  </w:num>
  <w:num w:numId="31" w16cid:durableId="1197086116">
    <w:abstractNumId w:val="28"/>
  </w:num>
  <w:num w:numId="32" w16cid:durableId="807669711">
    <w:abstractNumId w:val="6"/>
  </w:num>
  <w:num w:numId="33" w16cid:durableId="1842888479">
    <w:abstractNumId w:val="15"/>
  </w:num>
  <w:num w:numId="34" w16cid:durableId="194781001">
    <w:abstractNumId w:val="9"/>
  </w:num>
  <w:num w:numId="35" w16cid:durableId="1057514230">
    <w:abstractNumId w:val="14"/>
  </w:num>
  <w:num w:numId="36" w16cid:durableId="992173648">
    <w:abstractNumId w:val="27"/>
  </w:num>
  <w:num w:numId="37" w16cid:durableId="127601663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350B2"/>
    <w:rsid w:val="000369AA"/>
    <w:rsid w:val="000369C3"/>
    <w:rsid w:val="00037582"/>
    <w:rsid w:val="00037919"/>
    <w:rsid w:val="0004041F"/>
    <w:rsid w:val="00041246"/>
    <w:rsid w:val="00042869"/>
    <w:rsid w:val="00042BED"/>
    <w:rsid w:val="00042EA4"/>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7B28"/>
    <w:rsid w:val="000707F2"/>
    <w:rsid w:val="00071AA9"/>
    <w:rsid w:val="00071F0A"/>
    <w:rsid w:val="00076505"/>
    <w:rsid w:val="00077A25"/>
    <w:rsid w:val="00081CDD"/>
    <w:rsid w:val="0008215D"/>
    <w:rsid w:val="0008230A"/>
    <w:rsid w:val="00082A76"/>
    <w:rsid w:val="00085CDB"/>
    <w:rsid w:val="00086EC3"/>
    <w:rsid w:val="00087564"/>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1342"/>
    <w:rsid w:val="000E176A"/>
    <w:rsid w:val="000E330D"/>
    <w:rsid w:val="000E370F"/>
    <w:rsid w:val="000E3D75"/>
    <w:rsid w:val="000E3FCD"/>
    <w:rsid w:val="000E6042"/>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6F8"/>
    <w:rsid w:val="00114D8E"/>
    <w:rsid w:val="001162F1"/>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6A4C"/>
    <w:rsid w:val="001839D7"/>
    <w:rsid w:val="00184BF6"/>
    <w:rsid w:val="00184E59"/>
    <w:rsid w:val="001853AB"/>
    <w:rsid w:val="0018629F"/>
    <w:rsid w:val="001869C5"/>
    <w:rsid w:val="001905A1"/>
    <w:rsid w:val="001905F2"/>
    <w:rsid w:val="00190E24"/>
    <w:rsid w:val="00192935"/>
    <w:rsid w:val="00193D8B"/>
    <w:rsid w:val="00194F81"/>
    <w:rsid w:val="001952B4"/>
    <w:rsid w:val="001978DA"/>
    <w:rsid w:val="001A0106"/>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619C"/>
    <w:rsid w:val="002261C8"/>
    <w:rsid w:val="00230057"/>
    <w:rsid w:val="00232FA1"/>
    <w:rsid w:val="002331A3"/>
    <w:rsid w:val="00233DFF"/>
    <w:rsid w:val="00234B9A"/>
    <w:rsid w:val="00234E07"/>
    <w:rsid w:val="0023506C"/>
    <w:rsid w:val="00236846"/>
    <w:rsid w:val="002407DF"/>
    <w:rsid w:val="00241466"/>
    <w:rsid w:val="002424FF"/>
    <w:rsid w:val="00242B6A"/>
    <w:rsid w:val="00244F6A"/>
    <w:rsid w:val="00244FFA"/>
    <w:rsid w:val="00245257"/>
    <w:rsid w:val="00245D5E"/>
    <w:rsid w:val="00245F3F"/>
    <w:rsid w:val="00247081"/>
    <w:rsid w:val="002500D0"/>
    <w:rsid w:val="00250197"/>
    <w:rsid w:val="00252106"/>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25F3"/>
    <w:rsid w:val="0028552C"/>
    <w:rsid w:val="0028697C"/>
    <w:rsid w:val="00287AD9"/>
    <w:rsid w:val="00287B8D"/>
    <w:rsid w:val="00291786"/>
    <w:rsid w:val="00291A65"/>
    <w:rsid w:val="00292507"/>
    <w:rsid w:val="00292A1A"/>
    <w:rsid w:val="00292F3C"/>
    <w:rsid w:val="0029388D"/>
    <w:rsid w:val="002942C1"/>
    <w:rsid w:val="00294D80"/>
    <w:rsid w:val="00296955"/>
    <w:rsid w:val="002A141C"/>
    <w:rsid w:val="002A30DB"/>
    <w:rsid w:val="002A3F7C"/>
    <w:rsid w:val="002B0A60"/>
    <w:rsid w:val="002B0F6D"/>
    <w:rsid w:val="002B13C8"/>
    <w:rsid w:val="002B2028"/>
    <w:rsid w:val="002B2239"/>
    <w:rsid w:val="002B2E5B"/>
    <w:rsid w:val="002B2E77"/>
    <w:rsid w:val="002B302D"/>
    <w:rsid w:val="002B57F0"/>
    <w:rsid w:val="002C0837"/>
    <w:rsid w:val="002C1AA9"/>
    <w:rsid w:val="002C343D"/>
    <w:rsid w:val="002C3D2F"/>
    <w:rsid w:val="002C467F"/>
    <w:rsid w:val="002C481C"/>
    <w:rsid w:val="002C4DBD"/>
    <w:rsid w:val="002D0EEA"/>
    <w:rsid w:val="002D1114"/>
    <w:rsid w:val="002D20C0"/>
    <w:rsid w:val="002D215F"/>
    <w:rsid w:val="002D43BB"/>
    <w:rsid w:val="002D43C9"/>
    <w:rsid w:val="002D7182"/>
    <w:rsid w:val="002D79FA"/>
    <w:rsid w:val="002E0ABA"/>
    <w:rsid w:val="002E213A"/>
    <w:rsid w:val="002E27C8"/>
    <w:rsid w:val="002E2C16"/>
    <w:rsid w:val="002E3345"/>
    <w:rsid w:val="002E35D3"/>
    <w:rsid w:val="002F10FD"/>
    <w:rsid w:val="002F1A2E"/>
    <w:rsid w:val="002F43B2"/>
    <w:rsid w:val="002F7B54"/>
    <w:rsid w:val="00300CD1"/>
    <w:rsid w:val="00314925"/>
    <w:rsid w:val="00314B41"/>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9D0"/>
    <w:rsid w:val="00362F3B"/>
    <w:rsid w:val="003646A0"/>
    <w:rsid w:val="00370D4F"/>
    <w:rsid w:val="0037613E"/>
    <w:rsid w:val="00380B18"/>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D35"/>
    <w:rsid w:val="003A012C"/>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7BF5"/>
    <w:rsid w:val="003C7DA0"/>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D06"/>
    <w:rsid w:val="00412E27"/>
    <w:rsid w:val="00412F02"/>
    <w:rsid w:val="0041454F"/>
    <w:rsid w:val="0041506D"/>
    <w:rsid w:val="00415B73"/>
    <w:rsid w:val="00416B8A"/>
    <w:rsid w:val="00417DEE"/>
    <w:rsid w:val="00421B57"/>
    <w:rsid w:val="00421EF8"/>
    <w:rsid w:val="00423CEA"/>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530B"/>
    <w:rsid w:val="004456A9"/>
    <w:rsid w:val="00446569"/>
    <w:rsid w:val="004466BF"/>
    <w:rsid w:val="00447294"/>
    <w:rsid w:val="00451FD8"/>
    <w:rsid w:val="004523F4"/>
    <w:rsid w:val="004566ED"/>
    <w:rsid w:val="00456A24"/>
    <w:rsid w:val="00456BD4"/>
    <w:rsid w:val="00457041"/>
    <w:rsid w:val="00461019"/>
    <w:rsid w:val="0046275D"/>
    <w:rsid w:val="00462BE6"/>
    <w:rsid w:val="00464CA3"/>
    <w:rsid w:val="0046551E"/>
    <w:rsid w:val="00465E7B"/>
    <w:rsid w:val="004705D7"/>
    <w:rsid w:val="00470B8F"/>
    <w:rsid w:val="00476823"/>
    <w:rsid w:val="00476C2A"/>
    <w:rsid w:val="00480C10"/>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EDB"/>
    <w:rsid w:val="004D2913"/>
    <w:rsid w:val="004D3F76"/>
    <w:rsid w:val="004D442C"/>
    <w:rsid w:val="004D5290"/>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355D"/>
    <w:rsid w:val="005048CD"/>
    <w:rsid w:val="00505979"/>
    <w:rsid w:val="00506171"/>
    <w:rsid w:val="00507E7B"/>
    <w:rsid w:val="0051062E"/>
    <w:rsid w:val="00511945"/>
    <w:rsid w:val="00512212"/>
    <w:rsid w:val="0051448E"/>
    <w:rsid w:val="00517F9D"/>
    <w:rsid w:val="00520C40"/>
    <w:rsid w:val="00520E7B"/>
    <w:rsid w:val="00520F4B"/>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F08"/>
    <w:rsid w:val="00561607"/>
    <w:rsid w:val="00562029"/>
    <w:rsid w:val="00562C80"/>
    <w:rsid w:val="00563704"/>
    <w:rsid w:val="00563C40"/>
    <w:rsid w:val="00563FBF"/>
    <w:rsid w:val="0056568B"/>
    <w:rsid w:val="0056646A"/>
    <w:rsid w:val="0057199B"/>
    <w:rsid w:val="0057307D"/>
    <w:rsid w:val="00576110"/>
    <w:rsid w:val="00576F7A"/>
    <w:rsid w:val="00580B52"/>
    <w:rsid w:val="00582CAB"/>
    <w:rsid w:val="00585650"/>
    <w:rsid w:val="00586156"/>
    <w:rsid w:val="00586567"/>
    <w:rsid w:val="005865C0"/>
    <w:rsid w:val="00587DD7"/>
    <w:rsid w:val="00590A37"/>
    <w:rsid w:val="0059205F"/>
    <w:rsid w:val="00592355"/>
    <w:rsid w:val="00592596"/>
    <w:rsid w:val="00593C94"/>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C0297"/>
    <w:rsid w:val="005C11E1"/>
    <w:rsid w:val="005C4924"/>
    <w:rsid w:val="005C4C86"/>
    <w:rsid w:val="005D201C"/>
    <w:rsid w:val="005D3FCC"/>
    <w:rsid w:val="005D5A87"/>
    <w:rsid w:val="005D681F"/>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D0F"/>
    <w:rsid w:val="006362AA"/>
    <w:rsid w:val="00636D1E"/>
    <w:rsid w:val="00640363"/>
    <w:rsid w:val="00641CBA"/>
    <w:rsid w:val="0064384F"/>
    <w:rsid w:val="00644B01"/>
    <w:rsid w:val="00644C95"/>
    <w:rsid w:val="00645661"/>
    <w:rsid w:val="006479B6"/>
    <w:rsid w:val="00647D8A"/>
    <w:rsid w:val="00650C54"/>
    <w:rsid w:val="00651767"/>
    <w:rsid w:val="00651E33"/>
    <w:rsid w:val="006530FE"/>
    <w:rsid w:val="00662A01"/>
    <w:rsid w:val="00663377"/>
    <w:rsid w:val="006634DF"/>
    <w:rsid w:val="00667988"/>
    <w:rsid w:val="00667A31"/>
    <w:rsid w:val="00671081"/>
    <w:rsid w:val="006723D9"/>
    <w:rsid w:val="00672CE3"/>
    <w:rsid w:val="006739DF"/>
    <w:rsid w:val="00673FC5"/>
    <w:rsid w:val="00674A20"/>
    <w:rsid w:val="00676AA4"/>
    <w:rsid w:val="006805FD"/>
    <w:rsid w:val="00680713"/>
    <w:rsid w:val="006807E3"/>
    <w:rsid w:val="00681052"/>
    <w:rsid w:val="006829D6"/>
    <w:rsid w:val="00682FD4"/>
    <w:rsid w:val="00683301"/>
    <w:rsid w:val="0068481E"/>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C1CA5"/>
    <w:rsid w:val="006C1D96"/>
    <w:rsid w:val="006C58AD"/>
    <w:rsid w:val="006C5C00"/>
    <w:rsid w:val="006C5ED9"/>
    <w:rsid w:val="006C712A"/>
    <w:rsid w:val="006D0302"/>
    <w:rsid w:val="006D075E"/>
    <w:rsid w:val="006D3C51"/>
    <w:rsid w:val="006D54DA"/>
    <w:rsid w:val="006E0079"/>
    <w:rsid w:val="006E175E"/>
    <w:rsid w:val="006E192E"/>
    <w:rsid w:val="006E3309"/>
    <w:rsid w:val="006E3969"/>
    <w:rsid w:val="006E5495"/>
    <w:rsid w:val="006E5B7D"/>
    <w:rsid w:val="006E5E06"/>
    <w:rsid w:val="006E7E2E"/>
    <w:rsid w:val="006F0B78"/>
    <w:rsid w:val="006F24E7"/>
    <w:rsid w:val="00702EB8"/>
    <w:rsid w:val="00703FB8"/>
    <w:rsid w:val="007049A3"/>
    <w:rsid w:val="00706359"/>
    <w:rsid w:val="00710096"/>
    <w:rsid w:val="0071009A"/>
    <w:rsid w:val="00712955"/>
    <w:rsid w:val="00712994"/>
    <w:rsid w:val="00712BC8"/>
    <w:rsid w:val="007130B5"/>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60B0"/>
    <w:rsid w:val="0083283A"/>
    <w:rsid w:val="00833C4B"/>
    <w:rsid w:val="0083500B"/>
    <w:rsid w:val="00835C35"/>
    <w:rsid w:val="0083762E"/>
    <w:rsid w:val="00837E5D"/>
    <w:rsid w:val="008404B2"/>
    <w:rsid w:val="008405AD"/>
    <w:rsid w:val="008451D2"/>
    <w:rsid w:val="0084552F"/>
    <w:rsid w:val="00847784"/>
    <w:rsid w:val="0085313C"/>
    <w:rsid w:val="008561D5"/>
    <w:rsid w:val="00856C4E"/>
    <w:rsid w:val="00857016"/>
    <w:rsid w:val="00857FB6"/>
    <w:rsid w:val="008607ED"/>
    <w:rsid w:val="008608DB"/>
    <w:rsid w:val="0086105A"/>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A2639"/>
    <w:rsid w:val="008A2655"/>
    <w:rsid w:val="008A32CA"/>
    <w:rsid w:val="008A385C"/>
    <w:rsid w:val="008A43E0"/>
    <w:rsid w:val="008A6C72"/>
    <w:rsid w:val="008A6EFF"/>
    <w:rsid w:val="008B32C2"/>
    <w:rsid w:val="008B3FAF"/>
    <w:rsid w:val="008B46A0"/>
    <w:rsid w:val="008B4BAC"/>
    <w:rsid w:val="008B6A31"/>
    <w:rsid w:val="008B6BEC"/>
    <w:rsid w:val="008B7F3F"/>
    <w:rsid w:val="008C067D"/>
    <w:rsid w:val="008C075D"/>
    <w:rsid w:val="008C32CE"/>
    <w:rsid w:val="008C5B4C"/>
    <w:rsid w:val="008C622D"/>
    <w:rsid w:val="008C6866"/>
    <w:rsid w:val="008C6B2A"/>
    <w:rsid w:val="008D022D"/>
    <w:rsid w:val="008D4C5B"/>
    <w:rsid w:val="008D531A"/>
    <w:rsid w:val="008D5897"/>
    <w:rsid w:val="008D58EC"/>
    <w:rsid w:val="008D5EC7"/>
    <w:rsid w:val="008D60F7"/>
    <w:rsid w:val="008D6C0F"/>
    <w:rsid w:val="008E1B30"/>
    <w:rsid w:val="008E443D"/>
    <w:rsid w:val="008E469A"/>
    <w:rsid w:val="008F345D"/>
    <w:rsid w:val="008F3E1A"/>
    <w:rsid w:val="008F5C63"/>
    <w:rsid w:val="008F61E0"/>
    <w:rsid w:val="008F7126"/>
    <w:rsid w:val="00900B1E"/>
    <w:rsid w:val="00901E73"/>
    <w:rsid w:val="00902FEA"/>
    <w:rsid w:val="009033E7"/>
    <w:rsid w:val="00904028"/>
    <w:rsid w:val="00905BDA"/>
    <w:rsid w:val="009060A5"/>
    <w:rsid w:val="009105B6"/>
    <w:rsid w:val="00910683"/>
    <w:rsid w:val="009109B9"/>
    <w:rsid w:val="00911E51"/>
    <w:rsid w:val="009128EE"/>
    <w:rsid w:val="009139F5"/>
    <w:rsid w:val="00920E04"/>
    <w:rsid w:val="009227A4"/>
    <w:rsid w:val="009269B7"/>
    <w:rsid w:val="00930774"/>
    <w:rsid w:val="0093136C"/>
    <w:rsid w:val="00932470"/>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6AA7"/>
    <w:rsid w:val="00967C1F"/>
    <w:rsid w:val="00971218"/>
    <w:rsid w:val="00972086"/>
    <w:rsid w:val="009721C5"/>
    <w:rsid w:val="009727B8"/>
    <w:rsid w:val="00972BE8"/>
    <w:rsid w:val="009743E1"/>
    <w:rsid w:val="0097452F"/>
    <w:rsid w:val="00975017"/>
    <w:rsid w:val="00983CCC"/>
    <w:rsid w:val="00983EFA"/>
    <w:rsid w:val="00985DED"/>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4B23"/>
    <w:rsid w:val="009B5762"/>
    <w:rsid w:val="009B5D79"/>
    <w:rsid w:val="009C18A6"/>
    <w:rsid w:val="009C34C4"/>
    <w:rsid w:val="009C3CC4"/>
    <w:rsid w:val="009D1B4F"/>
    <w:rsid w:val="009D25C6"/>
    <w:rsid w:val="009D5294"/>
    <w:rsid w:val="009D5707"/>
    <w:rsid w:val="009D7471"/>
    <w:rsid w:val="009E0DDA"/>
    <w:rsid w:val="009E1156"/>
    <w:rsid w:val="009E27F2"/>
    <w:rsid w:val="009E2C20"/>
    <w:rsid w:val="009E408A"/>
    <w:rsid w:val="009E5744"/>
    <w:rsid w:val="009E6BAD"/>
    <w:rsid w:val="009F0072"/>
    <w:rsid w:val="009F011D"/>
    <w:rsid w:val="009F0D04"/>
    <w:rsid w:val="009F297F"/>
    <w:rsid w:val="009F4653"/>
    <w:rsid w:val="009F4C05"/>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4E9E"/>
    <w:rsid w:val="00A65F7B"/>
    <w:rsid w:val="00A70500"/>
    <w:rsid w:val="00A734DC"/>
    <w:rsid w:val="00A7394B"/>
    <w:rsid w:val="00A83075"/>
    <w:rsid w:val="00A84064"/>
    <w:rsid w:val="00A8465B"/>
    <w:rsid w:val="00A8469E"/>
    <w:rsid w:val="00A85B89"/>
    <w:rsid w:val="00A86E0F"/>
    <w:rsid w:val="00A91281"/>
    <w:rsid w:val="00A91F1E"/>
    <w:rsid w:val="00A93453"/>
    <w:rsid w:val="00A93AC1"/>
    <w:rsid w:val="00A93FCA"/>
    <w:rsid w:val="00A94F1E"/>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E25"/>
    <w:rsid w:val="00AC595F"/>
    <w:rsid w:val="00AC6916"/>
    <w:rsid w:val="00AC6A12"/>
    <w:rsid w:val="00AD0869"/>
    <w:rsid w:val="00AD2460"/>
    <w:rsid w:val="00AD444A"/>
    <w:rsid w:val="00AD44F7"/>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34F"/>
    <w:rsid w:val="00B03DC6"/>
    <w:rsid w:val="00B06C17"/>
    <w:rsid w:val="00B06C22"/>
    <w:rsid w:val="00B06CC4"/>
    <w:rsid w:val="00B06E32"/>
    <w:rsid w:val="00B07575"/>
    <w:rsid w:val="00B10C7C"/>
    <w:rsid w:val="00B138B2"/>
    <w:rsid w:val="00B139CA"/>
    <w:rsid w:val="00B16A2A"/>
    <w:rsid w:val="00B17212"/>
    <w:rsid w:val="00B17215"/>
    <w:rsid w:val="00B17374"/>
    <w:rsid w:val="00B17547"/>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8044B"/>
    <w:rsid w:val="00B80622"/>
    <w:rsid w:val="00B825DE"/>
    <w:rsid w:val="00B82E59"/>
    <w:rsid w:val="00B83AA0"/>
    <w:rsid w:val="00B83D02"/>
    <w:rsid w:val="00B84F3B"/>
    <w:rsid w:val="00B85EB0"/>
    <w:rsid w:val="00B86860"/>
    <w:rsid w:val="00B94144"/>
    <w:rsid w:val="00B9482C"/>
    <w:rsid w:val="00B96180"/>
    <w:rsid w:val="00B97D80"/>
    <w:rsid w:val="00BA11DA"/>
    <w:rsid w:val="00BA219C"/>
    <w:rsid w:val="00BA23B0"/>
    <w:rsid w:val="00BA2B73"/>
    <w:rsid w:val="00BA2E5A"/>
    <w:rsid w:val="00BA3BB8"/>
    <w:rsid w:val="00BA6239"/>
    <w:rsid w:val="00BA6970"/>
    <w:rsid w:val="00BA6CD3"/>
    <w:rsid w:val="00BA7766"/>
    <w:rsid w:val="00BA77E3"/>
    <w:rsid w:val="00BB1353"/>
    <w:rsid w:val="00BB3084"/>
    <w:rsid w:val="00BB3434"/>
    <w:rsid w:val="00BB3890"/>
    <w:rsid w:val="00BB3EA7"/>
    <w:rsid w:val="00BB47D9"/>
    <w:rsid w:val="00BB4DA5"/>
    <w:rsid w:val="00BC1C19"/>
    <w:rsid w:val="00BC2C29"/>
    <w:rsid w:val="00BC3A60"/>
    <w:rsid w:val="00BC3C47"/>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74D8"/>
    <w:rsid w:val="00BF7F9C"/>
    <w:rsid w:val="00C00396"/>
    <w:rsid w:val="00C01122"/>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6A53"/>
    <w:rsid w:val="00C376E3"/>
    <w:rsid w:val="00C4185B"/>
    <w:rsid w:val="00C422A5"/>
    <w:rsid w:val="00C43A32"/>
    <w:rsid w:val="00C4411B"/>
    <w:rsid w:val="00C45887"/>
    <w:rsid w:val="00C45FDF"/>
    <w:rsid w:val="00C46DE2"/>
    <w:rsid w:val="00C471A1"/>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9050B"/>
    <w:rsid w:val="00C90796"/>
    <w:rsid w:val="00C90D68"/>
    <w:rsid w:val="00C92427"/>
    <w:rsid w:val="00C93619"/>
    <w:rsid w:val="00C940ED"/>
    <w:rsid w:val="00C94B2D"/>
    <w:rsid w:val="00C94E0B"/>
    <w:rsid w:val="00CA1038"/>
    <w:rsid w:val="00CA1217"/>
    <w:rsid w:val="00CA5BE5"/>
    <w:rsid w:val="00CA63F4"/>
    <w:rsid w:val="00CA7D1E"/>
    <w:rsid w:val="00CA7D67"/>
    <w:rsid w:val="00CB0E5A"/>
    <w:rsid w:val="00CB2165"/>
    <w:rsid w:val="00CB2854"/>
    <w:rsid w:val="00CB37F3"/>
    <w:rsid w:val="00CB457E"/>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1705"/>
    <w:rsid w:val="00D31AEF"/>
    <w:rsid w:val="00D33D3B"/>
    <w:rsid w:val="00D34A66"/>
    <w:rsid w:val="00D37BB9"/>
    <w:rsid w:val="00D40150"/>
    <w:rsid w:val="00D40723"/>
    <w:rsid w:val="00D4085B"/>
    <w:rsid w:val="00D435C2"/>
    <w:rsid w:val="00D43F0A"/>
    <w:rsid w:val="00D456FF"/>
    <w:rsid w:val="00D47A1C"/>
    <w:rsid w:val="00D535F5"/>
    <w:rsid w:val="00D576C5"/>
    <w:rsid w:val="00D57AF3"/>
    <w:rsid w:val="00D6066F"/>
    <w:rsid w:val="00D61215"/>
    <w:rsid w:val="00D61DA9"/>
    <w:rsid w:val="00D622B4"/>
    <w:rsid w:val="00D62A52"/>
    <w:rsid w:val="00D65537"/>
    <w:rsid w:val="00D66DF3"/>
    <w:rsid w:val="00D6745F"/>
    <w:rsid w:val="00D67BDC"/>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83F"/>
    <w:rsid w:val="00DC0050"/>
    <w:rsid w:val="00DC3B95"/>
    <w:rsid w:val="00DC5712"/>
    <w:rsid w:val="00DC6F4D"/>
    <w:rsid w:val="00DD017D"/>
    <w:rsid w:val="00DD47DD"/>
    <w:rsid w:val="00DD6758"/>
    <w:rsid w:val="00DE082B"/>
    <w:rsid w:val="00DE20C2"/>
    <w:rsid w:val="00DE2440"/>
    <w:rsid w:val="00DE5EF4"/>
    <w:rsid w:val="00DE5FBD"/>
    <w:rsid w:val="00DE779D"/>
    <w:rsid w:val="00DE7D34"/>
    <w:rsid w:val="00DF1C60"/>
    <w:rsid w:val="00DF3116"/>
    <w:rsid w:val="00DF351B"/>
    <w:rsid w:val="00DF3E88"/>
    <w:rsid w:val="00DF469B"/>
    <w:rsid w:val="00E026DF"/>
    <w:rsid w:val="00E03FCE"/>
    <w:rsid w:val="00E06106"/>
    <w:rsid w:val="00E066C8"/>
    <w:rsid w:val="00E06B08"/>
    <w:rsid w:val="00E06DDF"/>
    <w:rsid w:val="00E10326"/>
    <w:rsid w:val="00E10C32"/>
    <w:rsid w:val="00E12B89"/>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678B"/>
    <w:rsid w:val="00EC720F"/>
    <w:rsid w:val="00ED0C11"/>
    <w:rsid w:val="00ED1A12"/>
    <w:rsid w:val="00ED217F"/>
    <w:rsid w:val="00ED2485"/>
    <w:rsid w:val="00ED26D7"/>
    <w:rsid w:val="00ED316F"/>
    <w:rsid w:val="00ED39D5"/>
    <w:rsid w:val="00ED65AF"/>
    <w:rsid w:val="00ED6A14"/>
    <w:rsid w:val="00ED773E"/>
    <w:rsid w:val="00ED7795"/>
    <w:rsid w:val="00EE0EF2"/>
    <w:rsid w:val="00EE2EA2"/>
    <w:rsid w:val="00EE31F3"/>
    <w:rsid w:val="00EE667A"/>
    <w:rsid w:val="00EE678C"/>
    <w:rsid w:val="00EF0798"/>
    <w:rsid w:val="00EF10F7"/>
    <w:rsid w:val="00EF15B3"/>
    <w:rsid w:val="00EF38BF"/>
    <w:rsid w:val="00EF4C3F"/>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2702"/>
    <w:rsid w:val="00F2289D"/>
    <w:rsid w:val="00F30092"/>
    <w:rsid w:val="00F31DAF"/>
    <w:rsid w:val="00F321D7"/>
    <w:rsid w:val="00F332C2"/>
    <w:rsid w:val="00F34287"/>
    <w:rsid w:val="00F34C96"/>
    <w:rsid w:val="00F34ECE"/>
    <w:rsid w:val="00F36DAE"/>
    <w:rsid w:val="00F37DA0"/>
    <w:rsid w:val="00F43612"/>
    <w:rsid w:val="00F43A6B"/>
    <w:rsid w:val="00F450FF"/>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3F1F"/>
    <w:rsid w:val="00F75165"/>
    <w:rsid w:val="00F77743"/>
    <w:rsid w:val="00F80181"/>
    <w:rsid w:val="00F825AC"/>
    <w:rsid w:val="00F84CB6"/>
    <w:rsid w:val="00F85BD3"/>
    <w:rsid w:val="00F86448"/>
    <w:rsid w:val="00F8682C"/>
    <w:rsid w:val="00F90E18"/>
    <w:rsid w:val="00F90E1B"/>
    <w:rsid w:val="00F92013"/>
    <w:rsid w:val="00F976DC"/>
    <w:rsid w:val="00FA00E1"/>
    <w:rsid w:val="00FA03A5"/>
    <w:rsid w:val="00FA1EE5"/>
    <w:rsid w:val="00FA2448"/>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2.xml><?xml version="1.0" encoding="utf-8"?>
<ds:datastoreItem xmlns:ds="http://schemas.openxmlformats.org/officeDocument/2006/customXml" ds:itemID="{AE286B2A-68F3-4E3B-92D3-122684B6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7</Pages>
  <Words>2428</Words>
  <Characters>13846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212</cp:revision>
  <cp:lastPrinted>2020-02-10T06:14:00Z</cp:lastPrinted>
  <dcterms:created xsi:type="dcterms:W3CDTF">2022-02-14T18:17:00Z</dcterms:created>
  <dcterms:modified xsi:type="dcterms:W3CDTF">2022-08-12T17:51:00Z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